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7AD" w:rsidRDefault="006507AD" w:rsidP="00A72B09">
      <w:pPr>
        <w:spacing w:after="0" w:line="240" w:lineRule="auto"/>
      </w:pPr>
      <w:r>
        <w:t>Season:</w:t>
      </w:r>
      <w:r>
        <w:tab/>
      </w:r>
      <w:r>
        <w:tab/>
        <w:t>Sunday of Ordinary Time following Pentecost</w:t>
      </w:r>
    </w:p>
    <w:p w:rsidR="006507AD" w:rsidRDefault="006507AD" w:rsidP="00A72B09">
      <w:pPr>
        <w:spacing w:after="0" w:line="240" w:lineRule="auto"/>
      </w:pPr>
      <w:r>
        <w:t>Liturgy:</w:t>
      </w:r>
      <w:r>
        <w:tab/>
      </w:r>
      <w:r>
        <w:tab/>
        <w:t>Morning Prayer (Matins)</w:t>
      </w:r>
      <w:r>
        <w:rPr>
          <w:rStyle w:val="FootnoteReference"/>
        </w:rPr>
        <w:footnoteReference w:id="1"/>
      </w:r>
      <w:r>
        <w:t xml:space="preserve"> – Planners’ Edition</w:t>
      </w:r>
      <w:r>
        <w:rPr>
          <w:rStyle w:val="FootnoteReference"/>
        </w:rPr>
        <w:footnoteReference w:id="2"/>
      </w:r>
    </w:p>
    <w:p w:rsidR="006507AD" w:rsidRDefault="006507AD" w:rsidP="00A72B09">
      <w:pPr>
        <w:spacing w:after="0" w:line="240" w:lineRule="auto"/>
      </w:pPr>
      <w:r>
        <w:t>Book:</w:t>
      </w:r>
      <w:r>
        <w:tab/>
      </w:r>
      <w:r>
        <w:tab/>
      </w:r>
      <w:r>
        <w:rPr>
          <w:i/>
          <w:iCs/>
        </w:rPr>
        <w:t>Evangelical L</w:t>
      </w:r>
      <w:r w:rsidRPr="009A00C6">
        <w:rPr>
          <w:i/>
          <w:iCs/>
        </w:rPr>
        <w:t>utheran Worship</w:t>
      </w:r>
      <w:r>
        <w:t xml:space="preserve"> (2006)</w:t>
      </w:r>
    </w:p>
    <w:p w:rsidR="006507AD" w:rsidRDefault="006507AD" w:rsidP="00A72B09">
      <w:pPr>
        <w:spacing w:after="0" w:line="240" w:lineRule="auto"/>
      </w:pPr>
    </w:p>
    <w:p w:rsidR="006507AD" w:rsidRDefault="006507AD" w:rsidP="00A72B09">
      <w:pPr>
        <w:spacing w:after="0" w:line="240" w:lineRule="auto"/>
        <w:rPr>
          <w:i/>
          <w:iCs/>
          <w:color w:val="FF0000"/>
          <w:sz w:val="18"/>
        </w:rPr>
      </w:pPr>
      <w:r w:rsidRPr="002C6B46">
        <w:rPr>
          <w:i/>
          <w:iCs/>
          <w:color w:val="FF0000"/>
          <w:sz w:val="18"/>
        </w:rPr>
        <w:t>This service should be used only when no ordained presbyter (pastor) is presiding. If an ordained presbyter is presiding, use the Holy Communion liturgy instead.</w:t>
      </w:r>
    </w:p>
    <w:p w:rsidR="006507AD" w:rsidRDefault="006507AD" w:rsidP="00A72B09">
      <w:pPr>
        <w:spacing w:after="0" w:line="240" w:lineRule="auto"/>
        <w:rPr>
          <w:i/>
          <w:iCs/>
          <w:color w:val="FF0000"/>
          <w:sz w:val="18"/>
        </w:rPr>
      </w:pPr>
    </w:p>
    <w:p w:rsidR="006507AD" w:rsidRPr="00B00401" w:rsidRDefault="006507AD" w:rsidP="00A72B09">
      <w:pPr>
        <w:spacing w:after="0" w:line="240" w:lineRule="auto"/>
        <w:rPr>
          <w:i/>
          <w:iCs/>
          <w:color w:val="FF0000"/>
          <w:sz w:val="18"/>
        </w:rPr>
      </w:pPr>
      <w:r>
        <w:rPr>
          <w:i/>
          <w:iCs/>
          <w:color w:val="FF0000"/>
          <w:sz w:val="18"/>
        </w:rPr>
        <w:t xml:space="preserve">This order may be adapted within the bounds of the rubrics in the order and the general rubrics found in the </w:t>
      </w:r>
      <w:r w:rsidRPr="000438AE">
        <w:rPr>
          <w:i/>
          <w:iCs/>
          <w:color w:val="FF0000"/>
          <w:sz w:val="18"/>
          <w:u w:val="single"/>
        </w:rPr>
        <w:t>Leader’s Desk Edition</w:t>
      </w:r>
      <w:r>
        <w:rPr>
          <w:i/>
          <w:iCs/>
          <w:color w:val="FF0000"/>
          <w:sz w:val="18"/>
        </w:rPr>
        <w:t>.</w:t>
      </w:r>
      <w:r>
        <w:rPr>
          <w:rStyle w:val="FootnoteReference"/>
          <w:i/>
          <w:iCs/>
          <w:color w:val="FF0000"/>
          <w:sz w:val="18"/>
        </w:rPr>
        <w:footnoteReference w:id="3"/>
      </w:r>
      <w:r>
        <w:rPr>
          <w:i/>
          <w:iCs/>
          <w:color w:val="FF0000"/>
          <w:sz w:val="18"/>
        </w:rPr>
        <w:t xml:space="preserve"> The expository footnotes in this planner’s edition offer guidance and explanations for the choices that made for this template.</w:t>
      </w:r>
    </w:p>
    <w:p w:rsidR="006507AD" w:rsidRDefault="006507AD" w:rsidP="00A72B09">
      <w:pPr>
        <w:spacing w:after="0" w:line="240" w:lineRule="auto"/>
      </w:pPr>
    </w:p>
    <w:p w:rsidR="006507AD" w:rsidRDefault="006507AD" w:rsidP="00A72B09">
      <w:pPr>
        <w:spacing w:after="0" w:line="240" w:lineRule="auto"/>
      </w:pPr>
    </w:p>
    <w:p w:rsidR="006507AD" w:rsidRDefault="006507AD" w:rsidP="00A72B09">
      <w:pPr>
        <w:spacing w:after="0" w:line="240" w:lineRule="auto"/>
      </w:pPr>
      <w:r>
        <w:t>p.298</w:t>
      </w:r>
      <w:r>
        <w:tab/>
        <w:t xml:space="preserve">Opening (Versicle, </w:t>
      </w:r>
      <w:r w:rsidRPr="00E674D4">
        <w:rPr>
          <w:i/>
        </w:rPr>
        <w:t>Gloria Patri</w:t>
      </w:r>
      <w:r>
        <w:t>, &amp; Alleluia)</w:t>
      </w:r>
      <w:r>
        <w:rPr>
          <w:rStyle w:val="FootnoteReference"/>
        </w:rPr>
        <w:footnoteReference w:id="4"/>
      </w:r>
      <w:r>
        <w:br w:type="page"/>
      </w:r>
      <w:r>
        <w:tab/>
        <w:t>Psalmody</w:t>
      </w:r>
      <w:r>
        <w:rPr>
          <w:rStyle w:val="FootnoteReference"/>
        </w:rPr>
        <w:footnoteReference w:id="5"/>
      </w:r>
    </w:p>
    <w:p w:rsidR="006507AD" w:rsidRDefault="006507AD" w:rsidP="000A06BA">
      <w:pPr>
        <w:spacing w:after="0" w:line="240" w:lineRule="auto"/>
      </w:pPr>
      <w:r>
        <w:t>p.299</w:t>
      </w:r>
      <w:r>
        <w:tab/>
      </w:r>
      <w:r>
        <w:tab/>
      </w:r>
      <w:r w:rsidRPr="00DB5EDB">
        <w:rPr>
          <w:i/>
          <w:iCs/>
        </w:rPr>
        <w:t>Venite exultemus</w:t>
      </w:r>
      <w:r>
        <w:t xml:space="preserve"> with invitatory (“Come, let us sing to the Lord…”)</w:t>
      </w:r>
      <w:r>
        <w:rPr>
          <w:rStyle w:val="FootnoteReference"/>
        </w:rPr>
        <w:footnoteReference w:id="6"/>
      </w:r>
    </w:p>
    <w:p w:rsidR="006507AD" w:rsidRDefault="006507AD" w:rsidP="000A06BA">
      <w:pPr>
        <w:spacing w:after="0" w:line="240" w:lineRule="auto"/>
      </w:pPr>
      <w:r>
        <w:t>#____</w:t>
      </w:r>
      <w:r>
        <w:tab/>
      </w:r>
      <w:r>
        <w:tab/>
        <w:t>Psalm</w:t>
      </w:r>
      <w:r>
        <w:rPr>
          <w:rStyle w:val="FootnoteReference"/>
        </w:rPr>
        <w:footnoteReference w:id="7"/>
      </w:r>
    </w:p>
    <w:p w:rsidR="006507AD" w:rsidRDefault="006507AD" w:rsidP="000A06BA">
      <w:pPr>
        <w:spacing w:after="0" w:line="240" w:lineRule="auto"/>
      </w:pPr>
      <w:r>
        <w:tab/>
      </w:r>
      <w:r>
        <w:tab/>
        <w:t>Psalm Prayer</w:t>
      </w:r>
      <w:r>
        <w:rPr>
          <w:rStyle w:val="FootnoteReference"/>
        </w:rPr>
        <w:footnoteReference w:id="8"/>
      </w:r>
    </w:p>
    <w:p w:rsidR="006507AD" w:rsidRDefault="006507AD" w:rsidP="000A06BA">
      <w:pPr>
        <w:spacing w:after="0" w:line="240" w:lineRule="auto"/>
      </w:pPr>
      <w:r>
        <w:t>#____</w:t>
      </w:r>
      <w:r>
        <w:tab/>
      </w:r>
      <w:r>
        <w:tab/>
        <w:t>Psalm</w:t>
      </w:r>
    </w:p>
    <w:p w:rsidR="006507AD" w:rsidRDefault="006507AD" w:rsidP="000A06BA">
      <w:pPr>
        <w:spacing w:after="0" w:line="240" w:lineRule="auto"/>
      </w:pPr>
      <w:r>
        <w:tab/>
      </w:r>
      <w:r>
        <w:tab/>
        <w:t>Psalm Prayer</w:t>
      </w:r>
    </w:p>
    <w:p w:rsidR="006507AD" w:rsidRDefault="006507AD" w:rsidP="00A72B09">
      <w:pPr>
        <w:spacing w:after="0" w:line="240" w:lineRule="auto"/>
      </w:pPr>
      <w:r>
        <w:t>#____</w:t>
      </w:r>
      <w:r>
        <w:tab/>
      </w:r>
      <w:r>
        <w:tab/>
        <w:t>Canticle</w:t>
      </w:r>
      <w:r>
        <w:rPr>
          <w:rStyle w:val="FootnoteReference"/>
        </w:rPr>
        <w:footnoteReference w:id="9"/>
      </w:r>
    </w:p>
    <w:p w:rsidR="006507AD" w:rsidRDefault="006507AD" w:rsidP="00A72B09">
      <w:pPr>
        <w:spacing w:after="0" w:line="240" w:lineRule="auto"/>
      </w:pPr>
      <w:r>
        <w:t>#____</w:t>
      </w:r>
      <w:r>
        <w:tab/>
      </w:r>
      <w:r>
        <w:tab/>
        <w:t>Song</w:t>
      </w:r>
    </w:p>
    <w:p w:rsidR="006507AD" w:rsidRDefault="006507AD" w:rsidP="00A72B09">
      <w:pPr>
        <w:spacing w:after="0" w:line="240" w:lineRule="auto"/>
      </w:pPr>
      <w:r>
        <w:tab/>
        <w:t>Word</w:t>
      </w:r>
    </w:p>
    <w:p w:rsidR="006507AD" w:rsidRDefault="006507AD" w:rsidP="00A72B09">
      <w:pPr>
        <w:spacing w:after="0" w:line="240" w:lineRule="auto"/>
      </w:pPr>
      <w:r>
        <w:tab/>
      </w:r>
      <w:r>
        <w:tab/>
      </w:r>
      <w:smartTag w:uri="urn:schemas-microsoft-com:office:smarttags" w:element="City">
        <w:smartTag w:uri="urn:schemas-microsoft-com:office:smarttags" w:element="place">
          <w:r>
            <w:t>Reading(s)</w:t>
          </w:r>
        </w:smartTag>
      </w:smartTag>
      <w:r>
        <w:rPr>
          <w:rStyle w:val="FootnoteReference"/>
        </w:rPr>
        <w:footnoteReference w:id="10"/>
      </w:r>
    </w:p>
    <w:p w:rsidR="006507AD" w:rsidRDefault="006507AD" w:rsidP="00A72B09">
      <w:pPr>
        <w:spacing w:after="0" w:line="240" w:lineRule="auto"/>
      </w:pPr>
      <w:r>
        <w:tab/>
      </w:r>
      <w:r>
        <w:tab/>
        <w:t>Response</w:t>
      </w:r>
      <w:r>
        <w:rPr>
          <w:rStyle w:val="FootnoteReference"/>
        </w:rPr>
        <w:footnoteReference w:id="11"/>
      </w:r>
    </w:p>
    <w:p w:rsidR="006507AD" w:rsidRDefault="006507AD" w:rsidP="00A72B09">
      <w:pPr>
        <w:spacing w:after="0" w:line="240" w:lineRule="auto"/>
      </w:pPr>
      <w:r>
        <w:t>p.302</w:t>
      </w:r>
      <w:r>
        <w:tab/>
      </w:r>
      <w:r>
        <w:tab/>
        <w:t>Scriptural Dialog (“Long ago God,…”)</w:t>
      </w:r>
      <w:r>
        <w:rPr>
          <w:rStyle w:val="FootnoteReference"/>
        </w:rPr>
        <w:footnoteReference w:id="12"/>
      </w:r>
    </w:p>
    <w:p w:rsidR="006507AD" w:rsidRDefault="006507AD" w:rsidP="00A72B09">
      <w:pPr>
        <w:spacing w:after="0" w:line="240" w:lineRule="auto"/>
      </w:pPr>
      <w:r>
        <w:t>p.303</w:t>
      </w:r>
      <w:r>
        <w:tab/>
      </w:r>
      <w:r>
        <w:tab/>
        <w:t xml:space="preserve">Gospel Canticle: </w:t>
      </w:r>
      <w:r w:rsidRPr="003022D9">
        <w:rPr>
          <w:i/>
        </w:rPr>
        <w:t>Benedictus</w:t>
      </w:r>
      <w:r>
        <w:t xml:space="preserve"> (“In the tender…Blessed are you…”)</w:t>
      </w:r>
      <w:r>
        <w:rPr>
          <w:rStyle w:val="FootnoteReference"/>
        </w:rPr>
        <w:footnoteReference w:id="13"/>
      </w:r>
    </w:p>
    <w:p w:rsidR="006507AD" w:rsidRDefault="006507AD" w:rsidP="00A72B09">
      <w:pPr>
        <w:spacing w:after="0" w:line="240" w:lineRule="auto"/>
      </w:pPr>
      <w:r>
        <w:tab/>
        <w:t>Prayers</w:t>
      </w:r>
    </w:p>
    <w:p w:rsidR="006507AD" w:rsidRDefault="006507AD" w:rsidP="004A671A">
      <w:pPr>
        <w:spacing w:after="0" w:line="240" w:lineRule="auto"/>
      </w:pPr>
      <w:r>
        <w:t>p.304</w:t>
      </w:r>
      <w:r>
        <w:tab/>
      </w:r>
      <w:r>
        <w:tab/>
        <w:t>Prayers of Intercession</w:t>
      </w:r>
      <w:r>
        <w:rPr>
          <w:rStyle w:val="FootnoteReference"/>
        </w:rPr>
        <w:footnoteReference w:id="14"/>
      </w:r>
    </w:p>
    <w:p w:rsidR="006507AD" w:rsidRDefault="006507AD" w:rsidP="004A671A">
      <w:pPr>
        <w:spacing w:after="0" w:line="240" w:lineRule="auto"/>
      </w:pPr>
      <w:r>
        <w:t>p.305</w:t>
      </w:r>
      <w:r>
        <w:tab/>
      </w:r>
      <w:r>
        <w:tab/>
        <w:t>Lord’s Prayer</w:t>
      </w:r>
    </w:p>
    <w:p w:rsidR="006507AD" w:rsidRDefault="006507AD" w:rsidP="00A72B09">
      <w:pPr>
        <w:spacing w:after="0" w:line="240" w:lineRule="auto"/>
      </w:pPr>
      <w:r>
        <w:tab/>
        <w:t>Paschal Blessing</w:t>
      </w:r>
      <w:r>
        <w:rPr>
          <w:rStyle w:val="FootnoteReference"/>
        </w:rPr>
        <w:footnoteReference w:id="15"/>
      </w:r>
    </w:p>
    <w:p w:rsidR="006507AD" w:rsidRDefault="006507AD" w:rsidP="001811EB">
      <w:pPr>
        <w:spacing w:after="0" w:line="240" w:lineRule="auto"/>
      </w:pPr>
      <w:r>
        <w:t>p.308</w:t>
      </w:r>
      <w:r>
        <w:tab/>
      </w:r>
      <w:r>
        <w:tab/>
        <w:t>Versicle (“As many as have been baptized into Christ…”)</w:t>
      </w:r>
    </w:p>
    <w:p w:rsidR="006507AD" w:rsidRDefault="006507AD" w:rsidP="00A72B09">
      <w:pPr>
        <w:spacing w:after="0" w:line="240" w:lineRule="auto"/>
      </w:pPr>
      <w:r>
        <w:t>p.308</w:t>
      </w:r>
      <w:r>
        <w:tab/>
      </w:r>
      <w:r>
        <w:tab/>
        <w:t>Resurrection Gospel according to St. Luke</w:t>
      </w:r>
      <w:r>
        <w:rPr>
          <w:rStyle w:val="FootnoteReference"/>
        </w:rPr>
        <w:footnoteReference w:id="16"/>
      </w:r>
    </w:p>
    <w:p w:rsidR="006507AD" w:rsidRPr="00BF7EE2" w:rsidRDefault="006507AD" w:rsidP="00A72B09">
      <w:pPr>
        <w:spacing w:after="0" w:line="240" w:lineRule="auto"/>
      </w:pPr>
      <w:r>
        <w:t>#____</w:t>
      </w:r>
      <w:r>
        <w:tab/>
      </w:r>
      <w:r>
        <w:tab/>
      </w:r>
      <w:r w:rsidRPr="00763AFC">
        <w:rPr>
          <w:i/>
          <w:iCs/>
        </w:rPr>
        <w:t>Te Deum</w:t>
      </w:r>
      <w:r>
        <w:t xml:space="preserve"> (“We praise you, O God”)</w:t>
      </w:r>
      <w:r>
        <w:rPr>
          <w:rStyle w:val="FootnoteReference"/>
        </w:rPr>
        <w:footnoteReference w:id="17"/>
      </w:r>
    </w:p>
    <w:p w:rsidR="006507AD" w:rsidRDefault="006507AD" w:rsidP="00A72B09">
      <w:pPr>
        <w:spacing w:after="0" w:line="240" w:lineRule="auto"/>
      </w:pPr>
      <w:r>
        <w:t>p.308</w:t>
      </w:r>
      <w:r>
        <w:tab/>
      </w:r>
      <w:r>
        <w:tab/>
        <w:t>Prayer</w:t>
      </w:r>
      <w:r>
        <w:rPr>
          <w:rStyle w:val="FootnoteReference"/>
        </w:rPr>
        <w:footnoteReference w:id="18"/>
      </w:r>
    </w:p>
    <w:p w:rsidR="006507AD" w:rsidRDefault="006507AD" w:rsidP="00A72B09">
      <w:pPr>
        <w:spacing w:after="0" w:line="240" w:lineRule="auto"/>
      </w:pPr>
      <w:r>
        <w:t>p.308</w:t>
      </w:r>
      <w:r>
        <w:tab/>
      </w:r>
      <w:r>
        <w:tab/>
        <w:t>Benediction</w:t>
      </w:r>
    </w:p>
    <w:p w:rsidR="006507AD" w:rsidRDefault="006507AD" w:rsidP="00A72B09">
      <w:pPr>
        <w:spacing w:after="0" w:line="240" w:lineRule="auto"/>
      </w:pPr>
      <w:r>
        <w:t>p.308</w:t>
      </w:r>
      <w:r>
        <w:tab/>
      </w:r>
      <w:r>
        <w:tab/>
        <w:t>Peace</w:t>
      </w:r>
      <w:r>
        <w:rPr>
          <w:rStyle w:val="FootnoteReference"/>
        </w:rPr>
        <w:footnoteReference w:id="19"/>
      </w:r>
    </w:p>
    <w:p w:rsidR="006507AD" w:rsidRDefault="006507AD" w:rsidP="00A72B09">
      <w:pPr>
        <w:spacing w:after="0" w:line="240" w:lineRule="auto"/>
      </w:pPr>
    </w:p>
    <w:sectPr w:rsidR="006507AD" w:rsidSect="001811E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7AD" w:rsidRDefault="006507AD">
      <w:r>
        <w:separator/>
      </w:r>
    </w:p>
  </w:endnote>
  <w:endnote w:type="continuationSeparator" w:id="0">
    <w:p w:rsidR="006507AD" w:rsidRDefault="006507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7AD" w:rsidRDefault="006507AD" w:rsidP="004903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507AD" w:rsidRDefault="006507A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7AD" w:rsidRDefault="006507AD" w:rsidP="004903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507AD" w:rsidRDefault="006507A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7AD" w:rsidRDefault="006507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7AD" w:rsidRDefault="006507AD">
      <w:r>
        <w:separator/>
      </w:r>
    </w:p>
  </w:footnote>
  <w:footnote w:type="continuationSeparator" w:id="0">
    <w:p w:rsidR="006507AD" w:rsidRDefault="006507AD">
      <w:r>
        <w:continuationSeparator/>
      </w:r>
    </w:p>
  </w:footnote>
  <w:footnote w:id="1">
    <w:p w:rsidR="006507AD" w:rsidRDefault="006507AD">
      <w:pPr>
        <w:pStyle w:val="FootnoteText"/>
      </w:pPr>
      <w:r>
        <w:rPr>
          <w:rStyle w:val="FootnoteReference"/>
        </w:rPr>
        <w:footnoteRef/>
      </w:r>
      <w:r>
        <w:t xml:space="preserve"> Morning Prayer in the </w:t>
      </w:r>
      <w:r w:rsidRPr="00E674D4">
        <w:rPr>
          <w:i/>
        </w:rPr>
        <w:t>ELW</w:t>
      </w:r>
      <w:r>
        <w:t xml:space="preserve"> is patterned after the Morning Prayer of the </w:t>
      </w:r>
      <w:r w:rsidRPr="00E674D4">
        <w:rPr>
          <w:i/>
        </w:rPr>
        <w:t>LBW</w:t>
      </w:r>
      <w:r>
        <w:t xml:space="preserve">. It is a conflation of the monastic offices of Vigils and Lauds, representing a departure from the practice of the monastery to that of the cathedral—a cathedral’s choir and priests were not going to get up in the middle of the night to prayer vigils. The beginning of the service follows the pattern of vigils with the ancient versicle “O Lord, open my lips,” </w:t>
      </w:r>
      <w:r w:rsidRPr="000A06BA">
        <w:rPr>
          <w:i/>
        </w:rPr>
        <w:t>Gloria Patri</w:t>
      </w:r>
      <w:r>
        <w:t xml:space="preserve"> and alleluia, and moves directly to the psalmody, which is the heart of the prayer offices and most especially so at Vigils. This office pivots at the reading to take on the form of Lauds, an office normally sung around sunrise, including on Sundays and feasts the singing of the </w:t>
      </w:r>
      <w:r w:rsidRPr="00B90391">
        <w:rPr>
          <w:i/>
        </w:rPr>
        <w:t>Te Deum</w:t>
      </w:r>
      <w:r>
        <w:t>.</w:t>
      </w:r>
    </w:p>
  </w:footnote>
  <w:footnote w:id="2">
    <w:p w:rsidR="006507AD" w:rsidRDefault="006507AD" w:rsidP="001811EB">
      <w:pPr>
        <w:pStyle w:val="FootnoteText"/>
      </w:pPr>
      <w:r>
        <w:rPr>
          <w:rStyle w:val="FootnoteReference"/>
        </w:rPr>
        <w:footnoteRef/>
      </w:r>
      <w:r>
        <w:t xml:space="preserve"> This is the Planners’ Edition of the template for the </w:t>
      </w:r>
      <w:r w:rsidRPr="0045343D">
        <w:rPr>
          <w:i/>
        </w:rPr>
        <w:t>ELW</w:t>
      </w:r>
      <w:r>
        <w:t>‘s Morning Prayer. This edition should be used only for planning purposes. The expository footnotes included in connection with some of the lines of the liturgy provide both background information and counsel with respect to choices that can be made. It is admitted that this advice is based upon a preference for a certain economy of language (preferring less verbose options over those that are more verbose) and an aversion to novelty and saccharine rhetoric.</w:t>
      </w:r>
    </w:p>
    <w:p w:rsidR="006507AD" w:rsidRDefault="006507AD" w:rsidP="001811EB">
      <w:pPr>
        <w:pStyle w:val="FootnoteText"/>
      </w:pPr>
      <w:r>
        <w:t>Where there is music provided, the assumption is that the text will be sung (and it is encouraged to sing if practical). That said, if the music is a challenge for the congregation, any and all texts may be said instead of sung. Additionally, texts without music may be chanted on a single pitch (monotone) or chanted using tradition rules for intonation. Those interested in learning about the rules for intonation should contact the bishop.</w:t>
      </w:r>
    </w:p>
    <w:p w:rsidR="006507AD" w:rsidRDefault="006507AD" w:rsidP="005B5DFA">
      <w:pPr>
        <w:pStyle w:val="FootnoteText"/>
      </w:pPr>
      <w:r>
        <w:t xml:space="preserve">When preparing the order of worship for the bulletin employed by congregation, it is not necessary to print out all the elements in full. The congregation has everything it needs in the </w:t>
      </w:r>
      <w:r w:rsidRPr="009819EC">
        <w:rPr>
          <w:i/>
        </w:rPr>
        <w:t>ELW</w:t>
      </w:r>
      <w:r>
        <w:t>.</w:t>
      </w:r>
    </w:p>
  </w:footnote>
  <w:footnote w:id="3">
    <w:p w:rsidR="006507AD" w:rsidRDefault="006507AD" w:rsidP="001811EB">
      <w:pPr>
        <w:pStyle w:val="FootnoteText"/>
      </w:pPr>
      <w:r>
        <w:rPr>
          <w:rStyle w:val="FootnoteReference"/>
        </w:rPr>
        <w:footnoteRef/>
      </w:r>
      <w:r>
        <w:t xml:space="preserve"> With respect to adaptation, something should be said about the word </w:t>
      </w:r>
      <w:r w:rsidRPr="00375C42">
        <w:rPr>
          <w:i/>
        </w:rPr>
        <w:t>may</w:t>
      </w:r>
      <w:r>
        <w:t xml:space="preserve">. </w:t>
      </w:r>
      <w:r w:rsidRPr="00375C42">
        <w:rPr>
          <w:i/>
        </w:rPr>
        <w:t>May</w:t>
      </w:r>
      <w:r>
        <w:t xml:space="preserve"> means </w:t>
      </w:r>
      <w:r w:rsidRPr="00375C42">
        <w:rPr>
          <w:i/>
        </w:rPr>
        <w:t>may</w:t>
      </w:r>
      <w:r>
        <w:t xml:space="preserve">. In rubrical usage, </w:t>
      </w:r>
      <w:r w:rsidRPr="00375C42">
        <w:rPr>
          <w:i/>
        </w:rPr>
        <w:t>shall</w:t>
      </w:r>
      <w:r>
        <w:t xml:space="preserve"> indicates something that is to be done (i.e., something that is not optional but required). </w:t>
      </w:r>
      <w:r w:rsidRPr="00375C42">
        <w:rPr>
          <w:i/>
        </w:rPr>
        <w:t>May</w:t>
      </w:r>
      <w:r>
        <w:t xml:space="preserve"> indicates the option to include or not. One will also find the word </w:t>
      </w:r>
      <w:r w:rsidRPr="00375C42">
        <w:rPr>
          <w:i/>
        </w:rPr>
        <w:t>or</w:t>
      </w:r>
      <w:r>
        <w:t xml:space="preserve"> in the rubrics. </w:t>
      </w:r>
      <w:r w:rsidRPr="00375C42">
        <w:rPr>
          <w:i/>
        </w:rPr>
        <w:t>Or</w:t>
      </w:r>
      <w:r>
        <w:t xml:space="preserve"> indicates a choice between two or more options.</w:t>
      </w:r>
    </w:p>
    <w:p w:rsidR="006507AD" w:rsidRDefault="006507AD" w:rsidP="001811EB">
      <w:pPr>
        <w:pStyle w:val="FootnoteText"/>
      </w:pPr>
      <w:r>
        <w:t>That an option exists, as indicated in the rubrics, does not imply that all the options are equally good options. For example, in the mass, one has the option of not beginning the liturgy with Confession &amp; Forgiveness. At the same time, Apology 24:1 states that all are “examined and absolved” prior to being communed. While that represents normative practice, there can be exceptions, but such exceptions need to be made thoughtfully and from an informed basis. This basis should be firstly doctrinal, secondarily historical, thirdly practical, and lastly aesthetic.</w:t>
      </w:r>
    </w:p>
  </w:footnote>
  <w:footnote w:id="4">
    <w:p w:rsidR="006507AD" w:rsidRDefault="006507AD">
      <w:pPr>
        <w:pStyle w:val="FootnoteText"/>
      </w:pPr>
      <w:r>
        <w:rPr>
          <w:rStyle w:val="FootnoteReference"/>
        </w:rPr>
        <w:footnoteRef/>
      </w:r>
      <w:r>
        <w:t xml:space="preserve"> While an optional versicle is provided, the use of “O Lord, open my lips | and my mouth shall declare your praise” (S298) is encouraged as it preserves the ancient opening versicle of the vigils liturgy. This versicle rendered up the first words spoken since the beginning of the great silence following compline the night before, the versicle being a prayer that every word spoken that day would be a praise of God. This versicle is drawn from Psalm 51 (v.15), a penitential song. The sign of the cross would be made over the lips at the singing of “O Lord, open my lips.”</w:t>
      </w:r>
    </w:p>
    <w:p w:rsidR="006507AD" w:rsidRDefault="006507AD">
      <w:pPr>
        <w:pStyle w:val="FootnoteText"/>
      </w:pPr>
      <w:r>
        <w:t xml:space="preserve">The </w:t>
      </w:r>
      <w:r w:rsidRPr="005B5DFA">
        <w:rPr>
          <w:i/>
        </w:rPr>
        <w:t>Gloria Patri</w:t>
      </w:r>
      <w:r>
        <w:t xml:space="preserve"> is immediately sung and then the </w:t>
      </w:r>
      <w:r w:rsidRPr="005A590A">
        <w:rPr>
          <w:i/>
        </w:rPr>
        <w:t>Alleluia</w:t>
      </w:r>
      <w:r>
        <w:t xml:space="preserve">, the </w:t>
      </w:r>
      <w:r w:rsidRPr="005A590A">
        <w:rPr>
          <w:i/>
        </w:rPr>
        <w:t>Alle</w:t>
      </w:r>
      <w:r>
        <w:rPr>
          <w:i/>
        </w:rPr>
        <w:t>l</w:t>
      </w:r>
      <w:r w:rsidRPr="005A590A">
        <w:rPr>
          <w:i/>
        </w:rPr>
        <w:t>uia</w:t>
      </w:r>
      <w:r>
        <w:t xml:space="preserve"> being omitted during Lent.</w:t>
      </w:r>
    </w:p>
  </w:footnote>
  <w:footnote w:id="5">
    <w:p w:rsidR="006507AD" w:rsidRDefault="006507AD">
      <w:pPr>
        <w:pStyle w:val="FootnoteText"/>
      </w:pPr>
      <w:r>
        <w:rPr>
          <w:rStyle w:val="FootnoteReference"/>
        </w:rPr>
        <w:footnoteRef/>
      </w:r>
      <w:r>
        <w:t xml:space="preserve"> The psalmody is the heart of the traditional prayer office. In Benedictine practice, the entire Book of Psalms (plus the canticles) was prayed over the course of a week across the seven daily offices. The centrality of the psalms suggests that more than one psalm should be used. The invitatory psalm is always prayed, the </w:t>
      </w:r>
      <w:r w:rsidRPr="0015507A">
        <w:rPr>
          <w:i/>
        </w:rPr>
        <w:t>Venite exultemus</w:t>
      </w:r>
      <w:r>
        <w:t xml:space="preserve"> (Ps.95) being provided in the </w:t>
      </w:r>
      <w:r w:rsidRPr="000C3D5E">
        <w:rPr>
          <w:i/>
        </w:rPr>
        <w:t>ELW</w:t>
      </w:r>
      <w:r>
        <w:t xml:space="preserve"> setting. At least one additional psalm should be prayed. Ideally, on a Sunday or feast day, more than one additional psalm should be prayed (and a canticle maybe added as well). </w:t>
      </w:r>
    </w:p>
  </w:footnote>
  <w:footnote w:id="6">
    <w:p w:rsidR="006507AD" w:rsidRDefault="006507AD">
      <w:pPr>
        <w:pStyle w:val="FootnoteText"/>
      </w:pPr>
      <w:r>
        <w:rPr>
          <w:rStyle w:val="FootnoteReference"/>
        </w:rPr>
        <w:footnoteRef/>
      </w:r>
      <w:r>
        <w:t xml:space="preserve"> The </w:t>
      </w:r>
      <w:r w:rsidRPr="004F4742">
        <w:rPr>
          <w:i/>
        </w:rPr>
        <w:t>Venite exultemus</w:t>
      </w:r>
      <w:r>
        <w:t xml:space="preserve"> (Ps.95) is one of the traditional invitatory psalms prayed to begin the day. As mentioned in the footnote above, the </w:t>
      </w:r>
      <w:r w:rsidRPr="000C3D5E">
        <w:rPr>
          <w:i/>
        </w:rPr>
        <w:t>Venite exultemus</w:t>
      </w:r>
      <w:r>
        <w:t xml:space="preserve"> is provided in the </w:t>
      </w:r>
      <w:r w:rsidRPr="00C34078">
        <w:rPr>
          <w:i/>
        </w:rPr>
        <w:t>ELW</w:t>
      </w:r>
      <w:r>
        <w:t xml:space="preserve"> setting. More advanced congregations may consider using other invitatory psalms in place of the </w:t>
      </w:r>
      <w:r w:rsidRPr="000C3D5E">
        <w:rPr>
          <w:i/>
        </w:rPr>
        <w:t>Venite exultemus</w:t>
      </w:r>
      <w:r>
        <w:t xml:space="preserve">. If the musical setting of the </w:t>
      </w:r>
      <w:r w:rsidRPr="00C34078">
        <w:rPr>
          <w:i/>
        </w:rPr>
        <w:t>Venite exultemus</w:t>
      </w:r>
      <w:r>
        <w:t xml:space="preserve"> in the Morning Prayer is too challenging, but singing is still desired, the alternatives ##224-225 may be considered or it may be chanted from the psalm section of the </w:t>
      </w:r>
      <w:r w:rsidRPr="00C34078">
        <w:rPr>
          <w:i/>
        </w:rPr>
        <w:t>ELW</w:t>
      </w:r>
      <w:r>
        <w:t xml:space="preserve"> like any other psalm.</w:t>
      </w:r>
    </w:p>
    <w:p w:rsidR="006507AD" w:rsidRDefault="006507AD">
      <w:pPr>
        <w:pStyle w:val="FootnoteText"/>
      </w:pPr>
      <w:r>
        <w:t xml:space="preserve">Liturgically, the first psalm of vigils began and ended with a short antiphon (or bookend refrain) that </w:t>
      </w:r>
      <w:r w:rsidRPr="004F4742">
        <w:rPr>
          <w:i/>
        </w:rPr>
        <w:t>invited</w:t>
      </w:r>
      <w:r>
        <w:t xml:space="preserve"> the congregation to praise God. This short antiphon is the </w:t>
      </w:r>
      <w:r w:rsidRPr="004F4742">
        <w:rPr>
          <w:i/>
        </w:rPr>
        <w:t>invitatory</w:t>
      </w:r>
      <w:r>
        <w:t xml:space="preserve"> properly speaking. “Give glory to God, our light and our life | Oh, come let us worship him,” is the invitatory for ordinary time, though the wording is slightly different in the </w:t>
      </w:r>
      <w:r w:rsidRPr="00C34078">
        <w:rPr>
          <w:i/>
        </w:rPr>
        <w:t>ELW</w:t>
      </w:r>
      <w:r>
        <w:t xml:space="preserve">, and may be used regardless of season). Seasonal invitatories are available in the </w:t>
      </w:r>
      <w:r w:rsidRPr="005C0F0C">
        <w:rPr>
          <w:i/>
        </w:rPr>
        <w:t>LBW</w:t>
      </w:r>
      <w:r>
        <w:t xml:space="preserve"> under Propers for Daily prayer (see the </w:t>
      </w:r>
      <w:r w:rsidRPr="00C34078">
        <w:rPr>
          <w:i/>
        </w:rPr>
        <w:t>LBW</w:t>
      </w:r>
      <w:r>
        <w:t>’s table of contents for page numbers).</w:t>
      </w:r>
    </w:p>
  </w:footnote>
  <w:footnote w:id="7">
    <w:p w:rsidR="006507AD" w:rsidRDefault="006507AD">
      <w:pPr>
        <w:pStyle w:val="FootnoteText"/>
      </w:pPr>
      <w:r>
        <w:rPr>
          <w:rStyle w:val="FootnoteReference"/>
        </w:rPr>
        <w:footnoteRef/>
      </w:r>
      <w:r>
        <w:t xml:space="preserve"> With psalms, hymns, etc. are rendered in the left-hand column with </w:t>
      </w:r>
      <w:r w:rsidRPr="009819EC">
        <w:rPr>
          <w:i/>
        </w:rPr>
        <w:t>#____</w:t>
      </w:r>
      <w:r>
        <w:t xml:space="preserve">, </w:t>
      </w:r>
      <w:r w:rsidRPr="009819EC">
        <w:rPr>
          <w:i/>
        </w:rPr>
        <w:t>TBA</w:t>
      </w:r>
      <w:r>
        <w:t xml:space="preserve"> can be used in its place. In this way, a reusable worship bulletin (as small as a half-sheet of letter-landscape) can be produced for use throughout a season (or kept in reserve for those occasions when Eucharist is not possible).</w:t>
      </w:r>
    </w:p>
    <w:p w:rsidR="006507AD" w:rsidRDefault="006507AD">
      <w:pPr>
        <w:pStyle w:val="FootnoteText"/>
      </w:pPr>
      <w:r>
        <w:t xml:space="preserve">With respect to the selection of psalms in addition to the </w:t>
      </w:r>
      <w:r w:rsidRPr="00657C23">
        <w:rPr>
          <w:i/>
        </w:rPr>
        <w:t>Venite exultemus</w:t>
      </w:r>
      <w:r>
        <w:t xml:space="preserve">, the psalm appointed in the lectionary for Sundays and festivals may be used. Alternatively, the psalm(s) appointed for daily prayer may be used; a matrix of psalms for daily prayer is found in the </w:t>
      </w:r>
      <w:r w:rsidRPr="00C34078">
        <w:rPr>
          <w:i/>
        </w:rPr>
        <w:t>LBW</w:t>
      </w:r>
      <w:r>
        <w:t xml:space="preserve"> under Propers for Daily prayer (see the </w:t>
      </w:r>
      <w:r w:rsidRPr="00C34078">
        <w:rPr>
          <w:i/>
        </w:rPr>
        <w:t>LBW</w:t>
      </w:r>
      <w:r>
        <w:t>’s table of contents for page numbers).</w:t>
      </w:r>
    </w:p>
  </w:footnote>
  <w:footnote w:id="8">
    <w:p w:rsidR="006507AD" w:rsidRDefault="006507AD">
      <w:pPr>
        <w:pStyle w:val="FootnoteText"/>
      </w:pPr>
      <w:r>
        <w:rPr>
          <w:rStyle w:val="FootnoteReference"/>
        </w:rPr>
        <w:footnoteRef/>
      </w:r>
      <w:r>
        <w:t xml:space="preserve"> A silence should follow each psalm to allow for meditation upon the psalm. This silence should not be rushed. Following the silence, the appointed psalm prayer may be said. This is optional. The psalm prayers can be found in the </w:t>
      </w:r>
      <w:r w:rsidRPr="00A24FD8">
        <w:rPr>
          <w:i/>
        </w:rPr>
        <w:t>LBW Altar Book</w:t>
      </w:r>
      <w:r>
        <w:t>., the appointed prayer following immediately upon its associated psalm. If the psalm prayer is not used, simply remove this line from your bulletin.</w:t>
      </w:r>
    </w:p>
  </w:footnote>
  <w:footnote w:id="9">
    <w:p w:rsidR="006507AD" w:rsidRDefault="006507AD">
      <w:pPr>
        <w:pStyle w:val="FootnoteText"/>
      </w:pPr>
      <w:r>
        <w:rPr>
          <w:rStyle w:val="FootnoteReference"/>
        </w:rPr>
        <w:footnoteRef/>
      </w:r>
      <w:r>
        <w:t xml:space="preserve"> At morning prayer, the canticle sung is an Old Testament canticle. The </w:t>
      </w:r>
      <w:r w:rsidRPr="00A24FD8">
        <w:rPr>
          <w:i/>
        </w:rPr>
        <w:t>LBW</w:t>
      </w:r>
      <w:r>
        <w:t xml:space="preserve"> provided as the first twenty-one hymns both the traditional canticles and some modern additions. The </w:t>
      </w:r>
      <w:r w:rsidRPr="00A24FD8">
        <w:rPr>
          <w:i/>
        </w:rPr>
        <w:t>ELW</w:t>
      </w:r>
      <w:r>
        <w:t xml:space="preserve"> provides no such section. As the canticle is optional, one may dispense with it if it is too much work to include (as the ELW does not make this easy). Alternatively, one may use the </w:t>
      </w:r>
      <w:r w:rsidRPr="00A24FD8">
        <w:rPr>
          <w:i/>
        </w:rPr>
        <w:t>LBW</w:t>
      </w:r>
      <w:r>
        <w:t xml:space="preserve"> instead or see if a desired canticle made its way into the hymn section of the </w:t>
      </w:r>
      <w:r w:rsidRPr="00A24FD8">
        <w:rPr>
          <w:i/>
        </w:rPr>
        <w:t>ELW</w:t>
      </w:r>
      <w:r>
        <w:t>.</w:t>
      </w:r>
    </w:p>
  </w:footnote>
  <w:footnote w:id="10">
    <w:p w:rsidR="006507AD" w:rsidRDefault="006507AD">
      <w:pPr>
        <w:pStyle w:val="FootnoteText"/>
      </w:pPr>
      <w:r>
        <w:rPr>
          <w:rStyle w:val="FootnoteReference"/>
        </w:rPr>
        <w:footnoteRef/>
      </w:r>
      <w:r>
        <w:t xml:space="preserve"> The rubrics indicate that one or more readings are to be read. Traditionally, Morning Prayer featured only one reading from Scriptures, that reading being from the Old Testament. One may use the Old Testament lesson appointed in the lectionary for Sundays and leave it at that, or one may opt for any two or all three readings.</w:t>
      </w:r>
    </w:p>
  </w:footnote>
  <w:footnote w:id="11">
    <w:p w:rsidR="006507AD" w:rsidRDefault="006507AD" w:rsidP="00384D47">
      <w:pPr>
        <w:pStyle w:val="FootnoteText"/>
      </w:pPr>
      <w:r>
        <w:rPr>
          <w:rStyle w:val="FootnoteReference"/>
        </w:rPr>
        <w:footnoteRef/>
      </w:r>
      <w:r>
        <w:t xml:space="preserve"> The </w:t>
      </w:r>
      <w:r w:rsidRPr="00E03FF5">
        <w:rPr>
          <w:i/>
        </w:rPr>
        <w:t>ELW</w:t>
      </w:r>
      <w:r>
        <w:t xml:space="preserve"> rubric indicates that a response may follow the lesson. This rubic follows the advice provided in the </w:t>
      </w:r>
      <w:r w:rsidRPr="00384D47">
        <w:rPr>
          <w:i/>
        </w:rPr>
        <w:t>LBW</w:t>
      </w:r>
      <w:r>
        <w:t>—Manual for the Liturgy, advice that significantly departed from and expanded upon the historic liturgical norms. In the historic design of morning prayer (drawing upon Lauds), the reading was followed (after a silence) by the Responsory (</w:t>
      </w:r>
      <w:r w:rsidRPr="00384D47">
        <w:rPr>
          <w:i/>
        </w:rPr>
        <w:t>responsorium beve</w:t>
      </w:r>
      <w:r>
        <w:t xml:space="preserve">). These changed seasonally and for feast days. While these are not provided in either the </w:t>
      </w:r>
      <w:r w:rsidRPr="00384D47">
        <w:rPr>
          <w:i/>
        </w:rPr>
        <w:t>ELW</w:t>
      </w:r>
      <w:r>
        <w:t xml:space="preserve"> or </w:t>
      </w:r>
      <w:r w:rsidRPr="00384D47">
        <w:rPr>
          <w:i/>
        </w:rPr>
        <w:t>LBW</w:t>
      </w:r>
      <w:r>
        <w:t xml:space="preserve">, an ongoing project in WV-WMD to make the proper responsories available is underway. You can learn more about the responsory at </w:t>
      </w:r>
      <w:hyperlink r:id="rId1" w:history="1">
        <w:r w:rsidRPr="00490386">
          <w:rPr>
            <w:rStyle w:val="Hyperlink"/>
          </w:rPr>
          <w:t>http://wv-wmd.org/worship/liturgies/extra-responsory.html</w:t>
        </w:r>
      </w:hyperlink>
      <w:r>
        <w:t>.</w:t>
      </w:r>
    </w:p>
    <w:p w:rsidR="006507AD" w:rsidRDefault="006507AD" w:rsidP="00384D47">
      <w:pPr>
        <w:pStyle w:val="FootnoteText"/>
      </w:pPr>
      <w:r>
        <w:t xml:space="preserve">The ELW rubric suggests that other forms of response might follow the reading. Great care should be taken that any such response be truly appropriate. If a sermon is desired, one should consider using the Service of the Word instead. A reading from one of the great spiritual masters (Augustine, Hildegard von Bingen, Luther, Elisabeth Cruciger, George Herbert, C.S.Lewis, Dorothy Sayers, etc.) may be used profitably. WV-WMD has a growing library of resources for readers: </w:t>
      </w:r>
      <w:r w:rsidRPr="005E343A">
        <w:t>http://wv-wmd.org/supply/SLWL/library/index.html</w:t>
      </w:r>
      <w:r>
        <w:t>.</w:t>
      </w:r>
    </w:p>
  </w:footnote>
  <w:footnote w:id="12">
    <w:p w:rsidR="006507AD" w:rsidRDefault="006507AD">
      <w:pPr>
        <w:pStyle w:val="FootnoteText"/>
      </w:pPr>
      <w:r>
        <w:rPr>
          <w:rStyle w:val="FootnoteReference"/>
        </w:rPr>
        <w:footnoteRef/>
      </w:r>
      <w:r>
        <w:t xml:space="preserve"> This is a versicle. S302b is recommended.</w:t>
      </w:r>
    </w:p>
  </w:footnote>
  <w:footnote w:id="13">
    <w:p w:rsidR="006507AD" w:rsidRDefault="006507AD">
      <w:pPr>
        <w:pStyle w:val="FootnoteText"/>
      </w:pPr>
      <w:r>
        <w:rPr>
          <w:rStyle w:val="FootnoteReference"/>
        </w:rPr>
        <w:footnoteRef/>
      </w:r>
      <w:r>
        <w:t xml:space="preserve"> The </w:t>
      </w:r>
      <w:r w:rsidRPr="00CF0007">
        <w:rPr>
          <w:i/>
        </w:rPr>
        <w:t>Benedictus Domine</w:t>
      </w:r>
      <w:r>
        <w:t xml:space="preserve"> (or, simply, </w:t>
      </w:r>
      <w:r w:rsidRPr="00CF0007">
        <w:rPr>
          <w:i/>
        </w:rPr>
        <w:t>Benedictus</w:t>
      </w:r>
      <w:r>
        <w:t xml:space="preserve">) is invariably sung at Matins/Lauds as the Gospel canticle. The </w:t>
      </w:r>
      <w:r w:rsidRPr="00CF00BB">
        <w:rPr>
          <w:i/>
        </w:rPr>
        <w:t>ELW</w:t>
      </w:r>
      <w:r>
        <w:t xml:space="preserve"> for some inexplicable reason offers the </w:t>
      </w:r>
      <w:r w:rsidRPr="00CF00BB">
        <w:rPr>
          <w:i/>
        </w:rPr>
        <w:t>Te Deum</w:t>
      </w:r>
      <w:r>
        <w:t xml:space="preserve"> as an alternative; this should be avoided. If the musical setting is too difficult, one may use #226.</w:t>
      </w:r>
    </w:p>
  </w:footnote>
  <w:footnote w:id="14">
    <w:p w:rsidR="006507AD" w:rsidRDefault="006507AD" w:rsidP="002A72DE">
      <w:pPr>
        <w:pStyle w:val="FootnoteText"/>
      </w:pPr>
      <w:r>
        <w:rPr>
          <w:rStyle w:val="FootnoteReference"/>
        </w:rPr>
        <w:footnoteRef/>
      </w:r>
      <w:r>
        <w:t xml:space="preserve"> The form provided on p.304 is consistent with patterns associated with morning prayer and recommended (cf. </w:t>
      </w:r>
      <w:r w:rsidRPr="00323FBA">
        <w:t>http://wv-wmd.org/worship/#Intercession</w:t>
      </w:r>
      <w:r>
        <w:t>).</w:t>
      </w:r>
    </w:p>
  </w:footnote>
  <w:footnote w:id="15">
    <w:p w:rsidR="006507AD" w:rsidRDefault="006507AD" w:rsidP="001811EB">
      <w:pPr>
        <w:pStyle w:val="FootnoteText"/>
      </w:pPr>
      <w:r>
        <w:rPr>
          <w:rStyle w:val="FootnoteReference"/>
        </w:rPr>
        <w:footnoteRef/>
      </w:r>
      <w:r>
        <w:t xml:space="preserve"> On Sundays and feast days, Morning Prayer concludes with additional material. The </w:t>
      </w:r>
      <w:r w:rsidRPr="00DA0794">
        <w:rPr>
          <w:i/>
        </w:rPr>
        <w:t>ELW</w:t>
      </w:r>
      <w:r>
        <w:t xml:space="preserve"> puts this additional material under the title </w:t>
      </w:r>
      <w:r w:rsidRPr="00DA0794">
        <w:rPr>
          <w:i/>
        </w:rPr>
        <w:t>Thanksgiving for Baptism</w:t>
      </w:r>
      <w:r>
        <w:t xml:space="preserve">, a strange choice given the historic pattern in no way considered the material such. A choice between two forms is provided in the </w:t>
      </w:r>
      <w:r w:rsidRPr="00DA0794">
        <w:rPr>
          <w:i/>
        </w:rPr>
        <w:t>ELW</w:t>
      </w:r>
      <w:r>
        <w:t xml:space="preserve">, the first being a modification of the so-called </w:t>
      </w:r>
      <w:r w:rsidRPr="00DA0794">
        <w:rPr>
          <w:i/>
        </w:rPr>
        <w:t>Thanksgiving for Baptism</w:t>
      </w:r>
      <w:r>
        <w:t xml:space="preserve"> found in the Eucharistic liturgies. This first option should not be used as it has no proper place in a morning prayer service. It is to be suspected that its introduction here is part and parcel of the excessive focus on sacraments currently in vogue (to the detriment of the historic prayer offices and preaching). That said, the second option is the traditional additional material (regardless of its misnaming by the editors of the </w:t>
      </w:r>
      <w:r w:rsidRPr="00CA4831">
        <w:rPr>
          <w:i/>
        </w:rPr>
        <w:t>ELW</w:t>
      </w:r>
      <w:r>
        <w:t>).</w:t>
      </w:r>
    </w:p>
    <w:p w:rsidR="006507AD" w:rsidRDefault="006507AD" w:rsidP="001811EB">
      <w:pPr>
        <w:pStyle w:val="FootnoteText"/>
      </w:pPr>
      <w:r>
        <w:t xml:space="preserve">Skipping then the </w:t>
      </w:r>
      <w:r>
        <w:rPr>
          <w:i/>
        </w:rPr>
        <w:t>B</w:t>
      </w:r>
      <w:r w:rsidRPr="00CA4831">
        <w:rPr>
          <w:i/>
        </w:rPr>
        <w:t>enedicamus</w:t>
      </w:r>
      <w:r>
        <w:t xml:space="preserve"> (“Let us bless the Lord”) and benediction on p.306, proceed, after the Lord’s Prayer, directly to p.308 and intone the paschal blessing (“As many as have been baptized into Christ have put on Christ”). </w:t>
      </w:r>
    </w:p>
  </w:footnote>
  <w:footnote w:id="16">
    <w:p w:rsidR="006507AD" w:rsidRDefault="006507AD">
      <w:pPr>
        <w:pStyle w:val="FootnoteText"/>
      </w:pPr>
      <w:r>
        <w:rPr>
          <w:rStyle w:val="FootnoteReference"/>
        </w:rPr>
        <w:footnoteRef/>
      </w:r>
      <w:r>
        <w:t xml:space="preserve"> This may be intoned. Toning for the Resurrection Gospel according to St. Luke is available in the </w:t>
      </w:r>
      <w:r w:rsidRPr="00545E26">
        <w:rPr>
          <w:i/>
        </w:rPr>
        <w:t>LBW Morning Prayer</w:t>
      </w:r>
      <w:r>
        <w:t xml:space="preserve"> setting. Alternatively, Luther’s intonation system for the Gospel found in </w:t>
      </w:r>
      <w:r w:rsidRPr="00545E26">
        <w:rPr>
          <w:i/>
        </w:rPr>
        <w:t>LW</w:t>
      </w:r>
      <w:r>
        <w:t xml:space="preserve"> 53 may be used.</w:t>
      </w:r>
    </w:p>
  </w:footnote>
  <w:footnote w:id="17">
    <w:p w:rsidR="006507AD" w:rsidRDefault="006507AD">
      <w:pPr>
        <w:pStyle w:val="FootnoteText"/>
      </w:pPr>
      <w:r>
        <w:rPr>
          <w:rStyle w:val="FootnoteReference"/>
        </w:rPr>
        <w:footnoteRef/>
      </w:r>
      <w:r>
        <w:t xml:space="preserve"> At this point, the reason for recommending earlier that the </w:t>
      </w:r>
      <w:r w:rsidRPr="00545E26">
        <w:rPr>
          <w:i/>
        </w:rPr>
        <w:t>Te Deum</w:t>
      </w:r>
      <w:r>
        <w:t xml:space="preserve"> should not be sung in place of the </w:t>
      </w:r>
      <w:r w:rsidRPr="00545E26">
        <w:rPr>
          <w:i/>
        </w:rPr>
        <w:t>Benedictus</w:t>
      </w:r>
      <w:r>
        <w:t xml:space="preserve"> becomes obvious. If the musical setting in the Morning Prayer service is too challenging for the congregation, ##227-228 may be considered as well as #414.</w:t>
      </w:r>
    </w:p>
  </w:footnote>
  <w:footnote w:id="18">
    <w:p w:rsidR="006507AD" w:rsidRDefault="006507AD">
      <w:pPr>
        <w:pStyle w:val="FootnoteText"/>
      </w:pPr>
      <w:r>
        <w:rPr>
          <w:rStyle w:val="FootnoteReference"/>
        </w:rPr>
        <w:footnoteRef/>
      </w:r>
      <w:r>
        <w:t xml:space="preserve"> This too may be intoned. Toning is provided in the </w:t>
      </w:r>
      <w:r w:rsidRPr="00545E26">
        <w:rPr>
          <w:i/>
        </w:rPr>
        <w:t>LBW Morning Prayer</w:t>
      </w:r>
      <w:r>
        <w:t xml:space="preserve"> setting. Alternatively, Luther’s intonation system for the collect found in </w:t>
      </w:r>
      <w:r w:rsidRPr="00545E26">
        <w:rPr>
          <w:i/>
        </w:rPr>
        <w:t>LW</w:t>
      </w:r>
      <w:r>
        <w:t xml:space="preserve"> 53 may be used.</w:t>
      </w:r>
    </w:p>
  </w:footnote>
  <w:footnote w:id="19">
    <w:p w:rsidR="006507AD" w:rsidRDefault="006507AD">
      <w:pPr>
        <w:pStyle w:val="FootnoteText"/>
      </w:pPr>
      <w:r>
        <w:rPr>
          <w:rStyle w:val="FootnoteReference"/>
        </w:rPr>
        <w:footnoteRef/>
      </w:r>
      <w:r>
        <w:t xml:space="preserve"> The Peace was first reintroduced to American Lutheran liturgy with the Common Service in the late 1800s. This was noting more than the presiding minister saying, “The peace of the Lord be with you always,” and the congregation responding, “And with thy spirit.” There was no shaking of hands or other gestures exchanged between the congregants. The </w:t>
      </w:r>
      <w:r w:rsidRPr="008756BB">
        <w:rPr>
          <w:i/>
        </w:rPr>
        <w:t>LBW</w:t>
      </w:r>
      <w:r>
        <w:t xml:space="preserve"> introduced the “exchange of peace” between the congregants, a decision rooted in attempts to recover practices of the early church. This was not well-received at first in most places, but it soon became perceived as indispensable. It should be noted that The Peace was historically associated with the Eucharistic service and only the Eucharistic service. Some congregations, after the introduction of the </w:t>
      </w:r>
      <w:r w:rsidRPr="008173DB">
        <w:rPr>
          <w:i/>
        </w:rPr>
        <w:t>LBW</w:t>
      </w:r>
      <w:r>
        <w:t xml:space="preserve"> but before moving to weekly communion started using it even when the antecommunion service was employed, inserting it in odd places. Anecdotally, reasons varied from pastors trying to make their congregations more welcoming to congregants simply enjoying a chance to greet each other (with little thought to its actual liturgical meaning, i.e., reconciliation of grievance before taking the Sacrament). </w:t>
      </w:r>
      <w:smartTag w:uri="urn:schemas-microsoft-com:office:smarttags" w:element="place">
        <w:smartTag w:uri="urn:schemas-microsoft-com:office:smarttags" w:element="PlaceName">
          <w:r>
            <w:t>Holden</w:t>
          </w:r>
        </w:smartTag>
        <w:r>
          <w:t xml:space="preserve"> </w:t>
        </w:r>
        <w:smartTag w:uri="urn:schemas-microsoft-com:office:smarttags" w:element="place">
          <w:r>
            <w:t>Village</w:t>
          </w:r>
        </w:smartTag>
      </w:smartTag>
      <w:r>
        <w:t xml:space="preserve"> introduced it as part of its Vespers service (as one might expect given the sentimental nature of camp worship), and The Peace has unfortunately spread to all non-Eucharistic services as an option in the </w:t>
      </w:r>
      <w:r w:rsidRPr="008173DB">
        <w:rPr>
          <w:i/>
        </w:rPr>
        <w:t>ELW</w:t>
      </w:r>
      <w:r>
        <w:t>. Omission is recommended.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7AD" w:rsidRDefault="006507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8.4pt;height:141.35pt;rotation:315;z-index:-251658752;mso-position-horizontal:center;mso-position-horizontal-relative:margin;mso-position-vertical:center;mso-position-vertical-relative:margin" o:allowincell="f" fillcolor="silver" stroked="f">
          <v:fill opacity=".5"/>
          <v:textpath style="font-family:&quot;Calibri&quot;;font-size:1pt" string="v2.1 (Draf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7AD" w:rsidRDefault="006507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518.4pt;height:141.35pt;rotation:315;z-index:-251657728;mso-position-horizontal:center;mso-position-horizontal-relative:margin;mso-position-vertical:center;mso-position-vertical-relative:margin" o:allowincell="f" fillcolor="silver" stroked="f">
          <v:fill opacity=".5"/>
          <v:textpath style="font-family:&quot;Calibri&quot;;font-size:1pt" string="v2.1 (Dra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7AD" w:rsidRDefault="006507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518.4pt;height:141.35pt;rotation:315;z-index:-251659776;mso-position-horizontal:center;mso-position-horizontal-relative:margin;mso-position-vertical:center;mso-position-vertical-relative:margin" o:allowincell="f" fillcolor="silver" stroked="f">
          <v:fill opacity=".5"/>
          <v:textpath style="font-family:&quot;Calibri&quot;;font-size:1pt" string="v2.1 (Draf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C3D0A"/>
    <w:multiLevelType w:val="hybridMultilevel"/>
    <w:tmpl w:val="C126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8A788B"/>
    <w:multiLevelType w:val="hybridMultilevel"/>
    <w:tmpl w:val="75E4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2B09"/>
    <w:rsid w:val="00017DAE"/>
    <w:rsid w:val="000438AE"/>
    <w:rsid w:val="00064611"/>
    <w:rsid w:val="00065AA0"/>
    <w:rsid w:val="000A06BA"/>
    <w:rsid w:val="000A197C"/>
    <w:rsid w:val="000C3D5E"/>
    <w:rsid w:val="000C79A0"/>
    <w:rsid w:val="00106C6E"/>
    <w:rsid w:val="0015507A"/>
    <w:rsid w:val="00157F2D"/>
    <w:rsid w:val="001811EB"/>
    <w:rsid w:val="001B0FA1"/>
    <w:rsid w:val="001B754B"/>
    <w:rsid w:val="002946B1"/>
    <w:rsid w:val="002A72DE"/>
    <w:rsid w:val="002C6B46"/>
    <w:rsid w:val="002E4581"/>
    <w:rsid w:val="003022D9"/>
    <w:rsid w:val="00323FBA"/>
    <w:rsid w:val="00361D11"/>
    <w:rsid w:val="00375C42"/>
    <w:rsid w:val="00384D47"/>
    <w:rsid w:val="0045343D"/>
    <w:rsid w:val="00490264"/>
    <w:rsid w:val="00490386"/>
    <w:rsid w:val="004A671A"/>
    <w:rsid w:val="004A766C"/>
    <w:rsid w:val="004F4742"/>
    <w:rsid w:val="00545E26"/>
    <w:rsid w:val="005859C6"/>
    <w:rsid w:val="005A590A"/>
    <w:rsid w:val="005B5DFA"/>
    <w:rsid w:val="005B64DB"/>
    <w:rsid w:val="005C0F0C"/>
    <w:rsid w:val="005E343A"/>
    <w:rsid w:val="006507AD"/>
    <w:rsid w:val="00657C23"/>
    <w:rsid w:val="006719CB"/>
    <w:rsid w:val="006B5988"/>
    <w:rsid w:val="00763AFC"/>
    <w:rsid w:val="0078038F"/>
    <w:rsid w:val="007E0453"/>
    <w:rsid w:val="008173DB"/>
    <w:rsid w:val="008756BB"/>
    <w:rsid w:val="008859AC"/>
    <w:rsid w:val="00950521"/>
    <w:rsid w:val="009819EC"/>
    <w:rsid w:val="009A00C6"/>
    <w:rsid w:val="00A24FD8"/>
    <w:rsid w:val="00A72B09"/>
    <w:rsid w:val="00A81B91"/>
    <w:rsid w:val="00B00401"/>
    <w:rsid w:val="00B25977"/>
    <w:rsid w:val="00B90391"/>
    <w:rsid w:val="00BC2A69"/>
    <w:rsid w:val="00BF7EE2"/>
    <w:rsid w:val="00C34078"/>
    <w:rsid w:val="00CA4831"/>
    <w:rsid w:val="00CB6D68"/>
    <w:rsid w:val="00CE35C5"/>
    <w:rsid w:val="00CF0007"/>
    <w:rsid w:val="00CF00BB"/>
    <w:rsid w:val="00D41D0C"/>
    <w:rsid w:val="00D56FBA"/>
    <w:rsid w:val="00D64CCE"/>
    <w:rsid w:val="00D7160D"/>
    <w:rsid w:val="00DA0794"/>
    <w:rsid w:val="00DB5EDB"/>
    <w:rsid w:val="00DB6F0A"/>
    <w:rsid w:val="00E03FF5"/>
    <w:rsid w:val="00E674D4"/>
    <w:rsid w:val="00E9730B"/>
    <w:rsid w:val="00F566D0"/>
    <w:rsid w:val="00FD48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D0C"/>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64DB"/>
    <w:pPr>
      <w:ind w:left="720"/>
      <w:contextualSpacing/>
    </w:pPr>
  </w:style>
  <w:style w:type="paragraph" w:styleId="FootnoteText">
    <w:name w:val="footnote text"/>
    <w:basedOn w:val="Normal"/>
    <w:link w:val="FootnoteTextChar"/>
    <w:uiPriority w:val="99"/>
    <w:semiHidden/>
    <w:rsid w:val="00E674D4"/>
    <w:rPr>
      <w:sz w:val="20"/>
      <w:szCs w:val="20"/>
    </w:rPr>
  </w:style>
  <w:style w:type="character" w:customStyle="1" w:styleId="FootnoteTextChar">
    <w:name w:val="Footnote Text Char"/>
    <w:basedOn w:val="DefaultParagraphFont"/>
    <w:link w:val="FootnoteText"/>
    <w:uiPriority w:val="99"/>
    <w:semiHidden/>
    <w:locked/>
    <w:rsid w:val="005B5DFA"/>
    <w:rPr>
      <w:rFonts w:ascii="Calibri" w:hAnsi="Calibri" w:cs="Times New Roman"/>
      <w:lang w:val="en-US" w:eastAsia="en-US" w:bidi="ar-SA"/>
    </w:rPr>
  </w:style>
  <w:style w:type="character" w:styleId="FootnoteReference">
    <w:name w:val="footnote reference"/>
    <w:basedOn w:val="DefaultParagraphFont"/>
    <w:uiPriority w:val="99"/>
    <w:semiHidden/>
    <w:rsid w:val="00E674D4"/>
    <w:rPr>
      <w:rFonts w:cs="Times New Roman"/>
      <w:vertAlign w:val="superscript"/>
    </w:rPr>
  </w:style>
  <w:style w:type="character" w:styleId="Hyperlink">
    <w:name w:val="Hyperlink"/>
    <w:basedOn w:val="DefaultParagraphFont"/>
    <w:uiPriority w:val="99"/>
    <w:rsid w:val="00384D47"/>
    <w:rPr>
      <w:rFonts w:cs="Times New Roman"/>
      <w:color w:val="0000FF"/>
      <w:u w:val="single"/>
    </w:rPr>
  </w:style>
  <w:style w:type="paragraph" w:styleId="Footer">
    <w:name w:val="footer"/>
    <w:basedOn w:val="Normal"/>
    <w:link w:val="FooterChar"/>
    <w:uiPriority w:val="99"/>
    <w:rsid w:val="00B00401"/>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sid w:val="00B00401"/>
    <w:rPr>
      <w:rFonts w:cs="Times New Roman"/>
    </w:rPr>
  </w:style>
  <w:style w:type="paragraph" w:styleId="Header">
    <w:name w:val="header"/>
    <w:basedOn w:val="Normal"/>
    <w:link w:val="HeaderChar"/>
    <w:uiPriority w:val="99"/>
    <w:rsid w:val="001B0FA1"/>
    <w:pPr>
      <w:tabs>
        <w:tab w:val="center" w:pos="4320"/>
        <w:tab w:val="right" w:pos="8640"/>
      </w:tabs>
    </w:pPr>
  </w:style>
  <w:style w:type="character" w:customStyle="1" w:styleId="HeaderChar">
    <w:name w:val="Header Char"/>
    <w:basedOn w:val="DefaultParagraphFont"/>
    <w:link w:val="Header"/>
    <w:uiPriority w:val="99"/>
    <w:semiHidden/>
    <w:rsid w:val="00E753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v-wmd.org/worship/liturgies/extra-respons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4</Pages>
  <Words>184</Words>
  <Characters>1053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Season:</dc:title>
  <dc:subject/>
  <dc:creator>Matthew Riegel</dc:creator>
  <cp:keywords/>
  <dc:description/>
  <cp:lastModifiedBy>Matthew Riegel</cp:lastModifiedBy>
  <cp:revision>7</cp:revision>
  <dcterms:created xsi:type="dcterms:W3CDTF">2026-07-21T21:03:00Z</dcterms:created>
  <dcterms:modified xsi:type="dcterms:W3CDTF">2026-07-21T21:34:00Z</dcterms:modified>
</cp:coreProperties>
</file>