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7F9" w:rsidRDefault="00C177F9" w:rsidP="00A72B09">
      <w:pPr>
        <w:spacing w:after="0" w:line="240" w:lineRule="auto"/>
      </w:pPr>
      <w:r>
        <w:t>Season/Day:</w:t>
      </w:r>
      <w:r>
        <w:tab/>
        <w:t>All Seasons and Days except in Advent and Lent</w:t>
      </w:r>
    </w:p>
    <w:p w:rsidR="00C177F9" w:rsidRDefault="00C177F9" w:rsidP="00A72B09">
      <w:pPr>
        <w:spacing w:after="0" w:line="240" w:lineRule="auto"/>
      </w:pPr>
      <w:r>
        <w:tab/>
      </w:r>
      <w:r>
        <w:tab/>
      </w:r>
    </w:p>
    <w:p w:rsidR="00C177F9" w:rsidRDefault="00C177F9" w:rsidP="00A72B09">
      <w:pPr>
        <w:spacing w:after="0" w:line="240" w:lineRule="auto"/>
      </w:pPr>
      <w:r>
        <w:t>Liturgy:</w:t>
      </w:r>
      <w:r>
        <w:tab/>
      </w:r>
      <w:r>
        <w:tab/>
        <w:t>Service of the Word (Planners’ Edition)</w:t>
      </w:r>
      <w:r>
        <w:rPr>
          <w:rStyle w:val="FootnoteReference"/>
        </w:rPr>
        <w:footnoteReference w:id="1"/>
      </w:r>
    </w:p>
    <w:p w:rsidR="00C177F9" w:rsidRDefault="00C177F9" w:rsidP="00A72B09">
      <w:pPr>
        <w:spacing w:after="0" w:line="240" w:lineRule="auto"/>
      </w:pPr>
      <w:r>
        <w:t>Book:</w:t>
      </w:r>
      <w:r>
        <w:tab/>
      </w:r>
      <w:r>
        <w:tab/>
      </w:r>
      <w:r w:rsidRPr="00D414AA">
        <w:rPr>
          <w:i/>
          <w:iCs/>
        </w:rPr>
        <w:t>Evangelical Lutheran Worship</w:t>
      </w:r>
      <w:r>
        <w:t xml:space="preserve"> (2006)</w:t>
      </w:r>
    </w:p>
    <w:p w:rsidR="00C177F9" w:rsidRDefault="00C177F9" w:rsidP="00A72B09">
      <w:pPr>
        <w:spacing w:after="0" w:line="240" w:lineRule="auto"/>
      </w:pPr>
    </w:p>
    <w:p w:rsidR="00C177F9" w:rsidRDefault="00C177F9" w:rsidP="00A72B09">
      <w:pPr>
        <w:spacing w:after="0" w:line="240" w:lineRule="auto"/>
        <w:rPr>
          <w:i/>
          <w:iCs/>
          <w:color w:val="FF0000"/>
          <w:sz w:val="18"/>
        </w:rPr>
      </w:pPr>
      <w:r w:rsidRPr="002C6B46">
        <w:rPr>
          <w:i/>
          <w:iCs/>
          <w:color w:val="FF0000"/>
          <w:sz w:val="18"/>
        </w:rPr>
        <w:t>This service should be used only when no ordained presbyter (pastor) is presiding. If an ordained presbyter is presiding, use the Holy Communion liturgy instead.</w:t>
      </w:r>
      <w:r>
        <w:rPr>
          <w:rStyle w:val="FootnoteReference"/>
          <w:i/>
          <w:iCs/>
          <w:color w:val="FF0000"/>
          <w:sz w:val="18"/>
        </w:rPr>
        <w:footnoteReference w:id="2"/>
      </w:r>
    </w:p>
    <w:p w:rsidR="00C177F9" w:rsidRDefault="00C177F9" w:rsidP="00A72B09">
      <w:pPr>
        <w:spacing w:after="0" w:line="240" w:lineRule="auto"/>
        <w:rPr>
          <w:i/>
          <w:iCs/>
          <w:color w:val="FF0000"/>
          <w:sz w:val="18"/>
        </w:rPr>
      </w:pPr>
    </w:p>
    <w:p w:rsidR="00C177F9" w:rsidRPr="00CD4A9B" w:rsidRDefault="00C177F9" w:rsidP="00A72B09">
      <w:pPr>
        <w:spacing w:after="0" w:line="240" w:lineRule="auto"/>
        <w:rPr>
          <w:i/>
          <w:iCs/>
          <w:color w:val="FF0000"/>
          <w:sz w:val="18"/>
        </w:rPr>
      </w:pPr>
      <w:r>
        <w:rPr>
          <w:i/>
          <w:iCs/>
          <w:color w:val="FF0000"/>
          <w:sz w:val="18"/>
        </w:rPr>
        <w:t xml:space="preserve">This order may be adapted within the bounds of the rubrics in the order and the general rubrics found in the </w:t>
      </w:r>
      <w:r w:rsidRPr="000438AE">
        <w:rPr>
          <w:i/>
          <w:iCs/>
          <w:color w:val="FF0000"/>
          <w:sz w:val="18"/>
          <w:u w:val="single"/>
        </w:rPr>
        <w:t>Leader’s Desk Edition</w:t>
      </w:r>
      <w:r>
        <w:rPr>
          <w:i/>
          <w:iCs/>
          <w:color w:val="FF0000"/>
          <w:sz w:val="18"/>
        </w:rPr>
        <w:t>.</w:t>
      </w:r>
      <w:r>
        <w:rPr>
          <w:rStyle w:val="FootnoteReference"/>
          <w:i/>
          <w:iCs/>
          <w:color w:val="FF0000"/>
          <w:sz w:val="18"/>
        </w:rPr>
        <w:footnoteReference w:id="3"/>
      </w:r>
      <w:r>
        <w:rPr>
          <w:i/>
          <w:iCs/>
          <w:color w:val="FF0000"/>
          <w:sz w:val="18"/>
        </w:rPr>
        <w:t xml:space="preserve"> The expository footnotes in this planner’s edition offer guidance and explanations for the choices that made for this template.</w:t>
      </w:r>
    </w:p>
    <w:p w:rsidR="00C177F9" w:rsidRDefault="00C177F9" w:rsidP="00A72B09">
      <w:pPr>
        <w:spacing w:after="0" w:line="240" w:lineRule="auto"/>
      </w:pPr>
    </w:p>
    <w:p w:rsidR="00C177F9" w:rsidRDefault="00C177F9" w:rsidP="00A72B09">
      <w:pPr>
        <w:spacing w:after="0" w:line="240" w:lineRule="auto"/>
      </w:pPr>
    </w:p>
    <w:p w:rsidR="00C177F9" w:rsidRDefault="00C177F9" w:rsidP="00A72B09">
      <w:pPr>
        <w:spacing w:after="0" w:line="240" w:lineRule="auto"/>
      </w:pPr>
      <w:r>
        <w:t>p.211</w:t>
      </w:r>
      <w:r>
        <w:tab/>
        <w:t>Confession and Forgiveness</w:t>
      </w:r>
      <w:r>
        <w:rPr>
          <w:rStyle w:val="FootnoteReference"/>
        </w:rPr>
        <w:footnoteReference w:id="4"/>
      </w:r>
    </w:p>
    <w:p w:rsidR="00C177F9" w:rsidRDefault="00C177F9" w:rsidP="00A72B09">
      <w:pPr>
        <w:spacing w:after="0" w:line="240" w:lineRule="auto"/>
      </w:pPr>
      <w:r>
        <w:t>#____</w:t>
      </w:r>
      <w:r>
        <w:tab/>
        <w:t>Gathering Song</w:t>
      </w:r>
      <w:r>
        <w:rPr>
          <w:rStyle w:val="FootnoteReference"/>
        </w:rPr>
        <w:footnoteReference w:id="5"/>
      </w:r>
    </w:p>
    <w:p w:rsidR="00C177F9" w:rsidRDefault="00C177F9" w:rsidP="00A72B09">
      <w:pPr>
        <w:spacing w:after="0" w:line="240" w:lineRule="auto"/>
      </w:pPr>
      <w:r>
        <w:t>p.213</w:t>
      </w:r>
      <w:r>
        <w:tab/>
        <w:t>Apostolic Greeting (“The grace of our Lord…”)</w:t>
      </w:r>
    </w:p>
    <w:p w:rsidR="00C177F9" w:rsidRDefault="00C177F9" w:rsidP="00A72B09">
      <w:pPr>
        <w:spacing w:after="0" w:line="240" w:lineRule="auto"/>
      </w:pPr>
      <w:r>
        <w:t>p.213</w:t>
      </w:r>
      <w:r>
        <w:tab/>
      </w:r>
      <w:r w:rsidRPr="00D414AA">
        <w:rPr>
          <w:i/>
          <w:iCs/>
        </w:rPr>
        <w:t>Kyrie</w:t>
      </w:r>
      <w:r>
        <w:rPr>
          <w:rStyle w:val="FootnoteReference"/>
        </w:rPr>
        <w:footnoteReference w:id="6"/>
      </w:r>
    </w:p>
    <w:p w:rsidR="00C177F9" w:rsidRDefault="00C177F9" w:rsidP="00A72B09">
      <w:pPr>
        <w:spacing w:after="0" w:line="240" w:lineRule="auto"/>
      </w:pPr>
      <w:r>
        <w:t>p.213</w:t>
      </w:r>
      <w:r>
        <w:tab/>
        <w:t xml:space="preserve">Canticle of Praise: </w:t>
      </w:r>
      <w:r w:rsidRPr="00D414AA">
        <w:rPr>
          <w:i/>
          <w:iCs/>
        </w:rPr>
        <w:t>Gloria</w:t>
      </w:r>
      <w:r>
        <w:rPr>
          <w:rStyle w:val="FootnoteReference"/>
        </w:rPr>
        <w:footnoteReference w:id="7"/>
      </w:r>
    </w:p>
    <w:p w:rsidR="00C177F9" w:rsidRDefault="00C177F9" w:rsidP="00A72B09">
      <w:pPr>
        <w:spacing w:after="0" w:line="240" w:lineRule="auto"/>
      </w:pPr>
      <w:r>
        <w:t>p.215</w:t>
      </w:r>
      <w:r>
        <w:tab/>
        <w:t>Prayer of the Day</w:t>
      </w:r>
    </w:p>
    <w:p w:rsidR="00C177F9" w:rsidRDefault="00C177F9" w:rsidP="00A72B09">
      <w:pPr>
        <w:spacing w:after="0" w:line="240" w:lineRule="auto"/>
      </w:pPr>
      <w:r>
        <w:tab/>
        <w:t xml:space="preserve">First </w:t>
      </w:r>
      <w:smartTag w:uri="urn:schemas-microsoft-com:office:smarttags" w:element="place">
        <w:smartTag w:uri="urn:schemas-microsoft-com:office:smarttags" w:element="City">
          <w:r>
            <w:t>Reading</w:t>
          </w:r>
        </w:smartTag>
      </w:smartTag>
      <w:r>
        <w:rPr>
          <w:rStyle w:val="FootnoteReference"/>
        </w:rPr>
        <w:footnoteReference w:id="8"/>
      </w:r>
    </w:p>
    <w:p w:rsidR="00C177F9" w:rsidRDefault="00C177F9" w:rsidP="00A72B09">
      <w:pPr>
        <w:spacing w:after="0" w:line="240" w:lineRule="auto"/>
      </w:pPr>
      <w:r>
        <w:t>#____</w:t>
      </w:r>
      <w:r>
        <w:tab/>
        <w:t>Psalm</w:t>
      </w:r>
    </w:p>
    <w:p w:rsidR="00C177F9" w:rsidRDefault="00C177F9" w:rsidP="00A72B09">
      <w:pPr>
        <w:spacing w:after="0" w:line="240" w:lineRule="auto"/>
      </w:pPr>
      <w:r>
        <w:tab/>
        <w:t xml:space="preserve">Second </w:t>
      </w:r>
      <w:smartTag w:uri="urn:schemas-microsoft-com:office:smarttags" w:element="City">
        <w:r>
          <w:t>Reading</w:t>
        </w:r>
      </w:smartTag>
    </w:p>
    <w:p w:rsidR="00C177F9" w:rsidRDefault="00C177F9" w:rsidP="00A72B09">
      <w:pPr>
        <w:spacing w:after="0" w:line="240" w:lineRule="auto"/>
      </w:pPr>
      <w:r>
        <w:t>p.216</w:t>
      </w:r>
      <w:r>
        <w:tab/>
        <w:t>Gospel Acclamation (“Alleluia, Lord, to whom shall we go…”)</w:t>
      </w:r>
      <w:r>
        <w:rPr>
          <w:rStyle w:val="FootnoteReference"/>
        </w:rPr>
        <w:footnoteReference w:id="9"/>
      </w:r>
    </w:p>
    <w:p w:rsidR="00C177F9" w:rsidRDefault="00C177F9" w:rsidP="00A72B09">
      <w:pPr>
        <w:spacing w:after="0" w:line="240" w:lineRule="auto"/>
      </w:pPr>
      <w:r>
        <w:t>p.217</w:t>
      </w:r>
      <w:r>
        <w:tab/>
        <w:t>Gospel</w:t>
      </w:r>
    </w:p>
    <w:p w:rsidR="00C177F9" w:rsidRDefault="00C177F9" w:rsidP="00A72B09">
      <w:pPr>
        <w:spacing w:after="0" w:line="240" w:lineRule="auto"/>
      </w:pPr>
      <w:r>
        <w:tab/>
        <w:t>Sermon</w:t>
      </w:r>
    </w:p>
    <w:p w:rsidR="00C177F9" w:rsidRDefault="00C177F9" w:rsidP="00A72B09">
      <w:pPr>
        <w:spacing w:after="0" w:line="240" w:lineRule="auto"/>
      </w:pPr>
      <w:r>
        <w:t>#____</w:t>
      </w:r>
      <w:r>
        <w:tab/>
        <w:t>Hymn of the Day</w:t>
      </w:r>
    </w:p>
    <w:p w:rsidR="00C177F9" w:rsidRDefault="00C177F9" w:rsidP="00A72B09">
      <w:pPr>
        <w:spacing w:after="0" w:line="240" w:lineRule="auto"/>
      </w:pPr>
      <w:r>
        <w:t>p.217</w:t>
      </w:r>
      <w:r>
        <w:tab/>
        <w:t>Apostles'  Creed</w:t>
      </w:r>
    </w:p>
    <w:p w:rsidR="00C177F9" w:rsidRDefault="00C177F9" w:rsidP="00A72B09">
      <w:pPr>
        <w:spacing w:after="0" w:line="240" w:lineRule="auto"/>
      </w:pPr>
      <w:r>
        <w:t>p.218</w:t>
      </w:r>
      <w:r>
        <w:tab/>
        <w:t>Prayers of Intercession</w:t>
      </w:r>
      <w:r>
        <w:rPr>
          <w:rStyle w:val="FootnoteReference"/>
        </w:rPr>
        <w:footnoteReference w:id="10"/>
      </w:r>
    </w:p>
    <w:p w:rsidR="00C177F9" w:rsidRDefault="00C177F9" w:rsidP="00A72B09">
      <w:pPr>
        <w:spacing w:after="0" w:line="240" w:lineRule="auto"/>
      </w:pPr>
      <w:r>
        <w:t>p.218</w:t>
      </w:r>
      <w:r>
        <w:tab/>
        <w:t>Peace</w:t>
      </w:r>
      <w:r>
        <w:rPr>
          <w:rStyle w:val="FootnoteReference"/>
        </w:rPr>
        <w:footnoteReference w:id="11"/>
      </w:r>
    </w:p>
    <w:p w:rsidR="00C177F9" w:rsidRDefault="00C177F9" w:rsidP="00A72B09">
      <w:pPr>
        <w:spacing w:after="0" w:line="240" w:lineRule="auto"/>
      </w:pPr>
      <w:r>
        <w:tab/>
        <w:t>Offering</w:t>
      </w:r>
    </w:p>
    <w:p w:rsidR="00C177F9" w:rsidRDefault="00C177F9" w:rsidP="00A72B09">
      <w:pPr>
        <w:spacing w:after="0" w:line="240" w:lineRule="auto"/>
      </w:pPr>
      <w:r>
        <w:t>p.219</w:t>
      </w:r>
      <w:r>
        <w:tab/>
        <w:t>Canticle of Thanksgiving</w:t>
      </w:r>
      <w:r>
        <w:rPr>
          <w:rStyle w:val="FootnoteReference"/>
        </w:rPr>
        <w:footnoteReference w:id="12"/>
      </w:r>
    </w:p>
    <w:p w:rsidR="00C177F9" w:rsidRDefault="00C177F9" w:rsidP="00A72B09">
      <w:pPr>
        <w:spacing w:after="0" w:line="240" w:lineRule="auto"/>
      </w:pPr>
      <w:r>
        <w:t>p.220</w:t>
      </w:r>
      <w:r>
        <w:tab/>
        <w:t>Thanksgiving for the Word</w:t>
      </w:r>
      <w:r>
        <w:rPr>
          <w:rStyle w:val="FootnoteReference"/>
        </w:rPr>
        <w:footnoteReference w:id="13"/>
      </w:r>
    </w:p>
    <w:p w:rsidR="00C177F9" w:rsidRDefault="00C177F9" w:rsidP="00A72B09">
      <w:pPr>
        <w:spacing w:after="0" w:line="240" w:lineRule="auto"/>
      </w:pPr>
      <w:r>
        <w:t>p.221</w:t>
      </w:r>
      <w:r>
        <w:tab/>
        <w:t>Lord’s Prayer</w:t>
      </w:r>
      <w:r>
        <w:rPr>
          <w:rStyle w:val="FootnoteReference"/>
        </w:rPr>
        <w:footnoteReference w:id="14"/>
      </w:r>
    </w:p>
    <w:p w:rsidR="00C177F9" w:rsidRDefault="00C177F9" w:rsidP="00A72B09">
      <w:pPr>
        <w:spacing w:after="0" w:line="240" w:lineRule="auto"/>
      </w:pPr>
      <w:r>
        <w:t>p.221</w:t>
      </w:r>
      <w:r>
        <w:tab/>
        <w:t>Blessing</w:t>
      </w:r>
      <w:r>
        <w:rPr>
          <w:rStyle w:val="FootnoteReference"/>
        </w:rPr>
        <w:footnoteReference w:id="15"/>
      </w:r>
    </w:p>
    <w:p w:rsidR="00C177F9" w:rsidRDefault="00C177F9" w:rsidP="00A72B09">
      <w:pPr>
        <w:spacing w:after="0" w:line="240" w:lineRule="auto"/>
      </w:pPr>
      <w:r>
        <w:t>#____</w:t>
      </w:r>
      <w:r>
        <w:tab/>
        <w:t>Sending Song</w:t>
      </w:r>
    </w:p>
    <w:p w:rsidR="00C177F9" w:rsidRDefault="00C177F9" w:rsidP="00A72B09">
      <w:pPr>
        <w:spacing w:after="0" w:line="240" w:lineRule="auto"/>
      </w:pPr>
      <w:r>
        <w:t>p.222</w:t>
      </w:r>
      <w:r>
        <w:tab/>
        <w:t>Dismissal</w:t>
      </w:r>
      <w:r>
        <w:rPr>
          <w:rStyle w:val="FootnoteReference"/>
        </w:rPr>
        <w:footnoteReference w:id="16"/>
      </w:r>
    </w:p>
    <w:sectPr w:rsidR="00C177F9" w:rsidSect="002539F4">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7F9" w:rsidRDefault="00C177F9">
      <w:r>
        <w:separator/>
      </w:r>
    </w:p>
  </w:endnote>
  <w:endnote w:type="continuationSeparator" w:id="0">
    <w:p w:rsidR="00C177F9" w:rsidRDefault="00C177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7F9" w:rsidRDefault="00C177F9" w:rsidP="00C853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77F9" w:rsidRDefault="00C177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7F9" w:rsidRDefault="00C177F9" w:rsidP="00C853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177F9" w:rsidRDefault="00C177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7F9" w:rsidRDefault="00C177F9">
      <w:r>
        <w:separator/>
      </w:r>
    </w:p>
  </w:footnote>
  <w:footnote w:type="continuationSeparator" w:id="0">
    <w:p w:rsidR="00C177F9" w:rsidRDefault="00C177F9">
      <w:r>
        <w:continuationSeparator/>
      </w:r>
    </w:p>
  </w:footnote>
  <w:footnote w:id="1">
    <w:p w:rsidR="00C177F9" w:rsidRDefault="00C177F9">
      <w:pPr>
        <w:pStyle w:val="FootnoteText"/>
      </w:pPr>
      <w:r>
        <w:rPr>
          <w:rStyle w:val="FootnoteReference"/>
        </w:rPr>
        <w:footnoteRef/>
      </w:r>
      <w:r>
        <w:t xml:space="preserve"> This is the Planners’ Edition of the template for the </w:t>
      </w:r>
      <w:r w:rsidRPr="0045343D">
        <w:rPr>
          <w:i/>
        </w:rPr>
        <w:t>ELW</w:t>
      </w:r>
      <w:r>
        <w:t>‘s Service of the Word. This edition should be used only for planning purposes. The expository footnotes included in connection with some of the lines of the liturgy provide both background information and counsel with respect to choices that can be made. It is admitted that this advice is based upon a preference for a certain economy of language (preferring less verbose options over those that are more verbose) and an aversion to novelty and saccharine rhetoric.</w:t>
      </w:r>
    </w:p>
    <w:p w:rsidR="00C177F9" w:rsidRDefault="00C177F9">
      <w:pPr>
        <w:pStyle w:val="FootnoteText"/>
      </w:pPr>
      <w:r>
        <w:t xml:space="preserve">When preparing the order of worship for the bulletin employed by congregation, it is not necessary to print out all the elements in full. The congregation has everything it needs in the </w:t>
      </w:r>
      <w:r w:rsidRPr="009819EC">
        <w:rPr>
          <w:i/>
        </w:rPr>
        <w:t>ELW</w:t>
      </w:r>
      <w:r>
        <w:t xml:space="preserve">. </w:t>
      </w:r>
    </w:p>
  </w:footnote>
  <w:footnote w:id="2">
    <w:p w:rsidR="00C177F9" w:rsidRDefault="00C177F9">
      <w:pPr>
        <w:pStyle w:val="FootnoteText"/>
      </w:pPr>
      <w:r>
        <w:rPr>
          <w:rStyle w:val="FootnoteReference"/>
        </w:rPr>
        <w:footnoteRef/>
      </w:r>
      <w:r>
        <w:t xml:space="preserve"> General commentary: The </w:t>
      </w:r>
      <w:r w:rsidRPr="00CC1A1C">
        <w:rPr>
          <w:i/>
        </w:rPr>
        <w:t>ELW</w:t>
      </w:r>
      <w:r>
        <w:t xml:space="preserve">’s </w:t>
      </w:r>
      <w:r w:rsidRPr="00CC1A1C">
        <w:rPr>
          <w:i/>
        </w:rPr>
        <w:t>Leader’s Desk Edition</w:t>
      </w:r>
      <w:r>
        <w:t xml:space="preserve"> states that the Service of Word has been arranged to follow the pattern of a Eucharistic service. This is an unfortunate continuance of a pattern first introduced in the Service of Word and Prayer in </w:t>
      </w:r>
      <w:r w:rsidRPr="00B80498">
        <w:rPr>
          <w:i/>
        </w:rPr>
        <w:t>With One Voice</w:t>
      </w:r>
      <w:r>
        <w:t>. A Eucharistic service is a Eucharistic service, and that which is not a Eucharistic service should not attempt to cloth itself as if it were.</w:t>
      </w:r>
    </w:p>
    <w:p w:rsidR="00C177F9" w:rsidRDefault="00C177F9">
      <w:pPr>
        <w:pStyle w:val="FootnoteText"/>
      </w:pPr>
      <w:r>
        <w:t xml:space="preserve">The Service of the Word was first introduced in the </w:t>
      </w:r>
      <w:r w:rsidRPr="00CC1A1C">
        <w:rPr>
          <w:i/>
        </w:rPr>
        <w:t>LBW</w:t>
      </w:r>
      <w:r>
        <w:t xml:space="preserve"> (green book), and the editors of that form were careful not even to attempt replication of the Antecommunion service (i.e., the first half of the communion service up to the actual communion elements. The </w:t>
      </w:r>
      <w:r w:rsidRPr="00B80498">
        <w:rPr>
          <w:i/>
        </w:rPr>
        <w:t>LBW</w:t>
      </w:r>
      <w:r>
        <w:t xml:space="preserve"> Service of the Word is remarkably similar to the Washington Service (1869), incorporating the scriptural canticles and clearly centering upon the reading of Scriptures and preaching. If given the option, it is recommended that </w:t>
      </w:r>
      <w:r w:rsidRPr="00B80498">
        <w:rPr>
          <w:i/>
        </w:rPr>
        <w:t>LBW</w:t>
      </w:r>
      <w:r>
        <w:t xml:space="preserve"> Service of the Word be used instead of the </w:t>
      </w:r>
      <w:r w:rsidRPr="000E5CAB">
        <w:rPr>
          <w:i/>
        </w:rPr>
        <w:t>ELW</w:t>
      </w:r>
      <w:r>
        <w:t xml:space="preserve"> form, or one might do well to opt for </w:t>
      </w:r>
      <w:r w:rsidRPr="00B80498">
        <w:rPr>
          <w:i/>
        </w:rPr>
        <w:t>ELW</w:t>
      </w:r>
      <w:r>
        <w:t xml:space="preserve"> Morning Prayer instead.</w:t>
      </w:r>
    </w:p>
    <w:p w:rsidR="00C177F9" w:rsidRDefault="00C177F9">
      <w:pPr>
        <w:pStyle w:val="FootnoteText"/>
      </w:pPr>
      <w:r>
        <w:t xml:space="preserve">It should be noted that until the </w:t>
      </w:r>
      <w:r w:rsidRPr="004D1CCF">
        <w:rPr>
          <w:i/>
        </w:rPr>
        <w:t>ELW</w:t>
      </w:r>
      <w:r>
        <w:t xml:space="preserve">’s introduction there was an option in the Service of Holy Communion (as it was called in the </w:t>
      </w:r>
      <w:r w:rsidRPr="00526DE1">
        <w:rPr>
          <w:i/>
        </w:rPr>
        <w:t>LBW</w:t>
      </w:r>
      <w:r>
        <w:t xml:space="preserve">) to skip the communion elements. This was option was commonly used in the days before weekly communion was common. Prior to the </w:t>
      </w:r>
      <w:r w:rsidRPr="00526DE1">
        <w:rPr>
          <w:i/>
        </w:rPr>
        <w:t>LBW</w:t>
      </w:r>
      <w:r>
        <w:t xml:space="preserve">, the liturgy was structured such that the communion elements were the option being added infrequently included). We may suspect that the </w:t>
      </w:r>
      <w:r w:rsidRPr="00526DE1">
        <w:rPr>
          <w:i/>
        </w:rPr>
        <w:t>ELW</w:t>
      </w:r>
      <w:r>
        <w:t xml:space="preserve">’s Service of the Word was intended to replicate this Antecommunion service, an option that was removed from the format of the </w:t>
      </w:r>
      <w:r w:rsidRPr="00526DE1">
        <w:rPr>
          <w:i/>
        </w:rPr>
        <w:t>ELW</w:t>
      </w:r>
      <w:r>
        <w:t>’s Holy Communion service. Had the Thanksgiving for the Word elements not been included, this service would have conserved a pattern that was long used in American Lutheranism.</w:t>
      </w:r>
    </w:p>
  </w:footnote>
  <w:footnote w:id="3">
    <w:p w:rsidR="00C177F9" w:rsidRDefault="00C177F9">
      <w:pPr>
        <w:pStyle w:val="FootnoteText"/>
      </w:pPr>
      <w:r>
        <w:rPr>
          <w:rStyle w:val="FootnoteReference"/>
        </w:rPr>
        <w:footnoteRef/>
      </w:r>
      <w:r>
        <w:t xml:space="preserve"> With respect to adaptation, something should be said about the word </w:t>
      </w:r>
      <w:r w:rsidRPr="00375C42">
        <w:rPr>
          <w:i/>
        </w:rPr>
        <w:t>may</w:t>
      </w:r>
      <w:r>
        <w:t xml:space="preserve">. </w:t>
      </w:r>
      <w:r w:rsidRPr="00375C42">
        <w:rPr>
          <w:i/>
        </w:rPr>
        <w:t>May</w:t>
      </w:r>
      <w:r>
        <w:t xml:space="preserve"> means </w:t>
      </w:r>
      <w:r w:rsidRPr="00375C42">
        <w:rPr>
          <w:i/>
        </w:rPr>
        <w:t>may</w:t>
      </w:r>
      <w:r>
        <w:t xml:space="preserve">. In rubrical usage, </w:t>
      </w:r>
      <w:r w:rsidRPr="00375C42">
        <w:rPr>
          <w:i/>
        </w:rPr>
        <w:t>shall</w:t>
      </w:r>
      <w:r>
        <w:t xml:space="preserve"> indicates something that is to be done (i.e., something that is not optional but required). </w:t>
      </w:r>
      <w:r w:rsidRPr="00375C42">
        <w:rPr>
          <w:i/>
        </w:rPr>
        <w:t>May</w:t>
      </w:r>
      <w:r>
        <w:t xml:space="preserve"> indicates the option to include or not. One will also find the word </w:t>
      </w:r>
      <w:r w:rsidRPr="00375C42">
        <w:rPr>
          <w:i/>
        </w:rPr>
        <w:t>or</w:t>
      </w:r>
      <w:r>
        <w:t xml:space="preserve"> in the rubrics. </w:t>
      </w:r>
      <w:r w:rsidRPr="00375C42">
        <w:rPr>
          <w:i/>
        </w:rPr>
        <w:t>Or</w:t>
      </w:r>
      <w:r>
        <w:t xml:space="preserve"> indicates a choice between two or more options.</w:t>
      </w:r>
    </w:p>
    <w:p w:rsidR="00C177F9" w:rsidRDefault="00C177F9">
      <w:pPr>
        <w:pStyle w:val="FootnoteText"/>
      </w:pPr>
      <w:r>
        <w:t>That an option exists, as indicated in the rubrics, does not imply that all the options are equally good options. For example, in the mass, one has the option of not beginning the liturgy with Confession &amp; Forgiveness. At the same time, Apology 24:1 states that all are “examined and absolved” prior to being communed. While that represents normative practice, there can be exceptions, but such exceptions need to be made thoughtfully and from an informed basis. This basis should be firstly doctrinal, secondarily historical, thirdly practical, and lastly aesthetic.</w:t>
      </w:r>
    </w:p>
  </w:footnote>
  <w:footnote w:id="4">
    <w:p w:rsidR="00C177F9" w:rsidRDefault="00C177F9">
      <w:pPr>
        <w:pStyle w:val="FootnoteText"/>
      </w:pPr>
      <w:r>
        <w:rPr>
          <w:rStyle w:val="FootnoteReference"/>
        </w:rPr>
        <w:footnoteRef/>
      </w:r>
      <w:r>
        <w:t xml:space="preserve"> It is not recommended that the Confession and Forgiveness be employed. While confession is normative, per Apology 24:1, prior to receiving the Sacrament of the Lord’s Supper, there is no confessional or dogmatic basis for inclusion in a non-Eucharistic service. As the order for Confession and Forgiveness in the </w:t>
      </w:r>
      <w:r w:rsidRPr="001306D0">
        <w:rPr>
          <w:i/>
        </w:rPr>
        <w:t>ELW</w:t>
      </w:r>
      <w:r>
        <w:t xml:space="preserve"> assumes a presbyter (pastor) is presiding, and trying to make the necessary adjustments for lay presidency is unnecessarily complicated, it is recommended to simply omit this element. If there is a desire to retain it, contact the bishop for instructions on what modifications are required. </w:t>
      </w:r>
    </w:p>
  </w:footnote>
  <w:footnote w:id="5">
    <w:p w:rsidR="00C177F9" w:rsidRDefault="00C177F9">
      <w:pPr>
        <w:pStyle w:val="FootnoteText"/>
      </w:pPr>
      <w:r>
        <w:rPr>
          <w:rStyle w:val="FootnoteReference"/>
        </w:rPr>
        <w:footnoteRef/>
      </w:r>
      <w:r>
        <w:t xml:space="preserve"> With the Gathering Song and all other elements that are rendered in the left-hand column with </w:t>
      </w:r>
      <w:r w:rsidRPr="009819EC">
        <w:rPr>
          <w:i/>
        </w:rPr>
        <w:t>#____</w:t>
      </w:r>
      <w:r>
        <w:t xml:space="preserve">, </w:t>
      </w:r>
      <w:r w:rsidRPr="009819EC">
        <w:rPr>
          <w:i/>
        </w:rPr>
        <w:t>TBA</w:t>
      </w:r>
      <w:r>
        <w:t xml:space="preserve"> can be used in its place. In this way, a reusable worship bulletin (as small as a half-sheet of letter-landscape) can be produced for an entire year with the exception of Advent and Lent (when certain seasonal changes must be made).</w:t>
      </w:r>
    </w:p>
  </w:footnote>
  <w:footnote w:id="6">
    <w:p w:rsidR="00C177F9" w:rsidRDefault="00C177F9">
      <w:pPr>
        <w:pStyle w:val="FootnoteText"/>
      </w:pPr>
      <w:r>
        <w:rPr>
          <w:rStyle w:val="FootnoteReference"/>
        </w:rPr>
        <w:footnoteRef/>
      </w:r>
      <w:r>
        <w:t xml:space="preserve"> As indicated in the rubrics, any one of the ten musical settings of the </w:t>
      </w:r>
      <w:r w:rsidRPr="002539F4">
        <w:rPr>
          <w:i/>
        </w:rPr>
        <w:t>Kyrie</w:t>
      </w:r>
      <w:r>
        <w:t xml:space="preserve"> in the </w:t>
      </w:r>
      <w:r w:rsidRPr="002539F4">
        <w:rPr>
          <w:i/>
        </w:rPr>
        <w:t>ELW</w:t>
      </w:r>
      <w:r>
        <w:t xml:space="preserve"> may be used instead. Even more settings can found in the Service Music section of the hymns in the </w:t>
      </w:r>
      <w:r w:rsidRPr="002539F4">
        <w:rPr>
          <w:i/>
        </w:rPr>
        <w:t>ELW</w:t>
      </w:r>
      <w:r>
        <w:t>, and some hymns may be used as an alternative. Using any of these options will necessitate either changing the associated page number or making a verbal announcement.</w:t>
      </w:r>
    </w:p>
  </w:footnote>
  <w:footnote w:id="7">
    <w:p w:rsidR="00C177F9" w:rsidRDefault="00C177F9">
      <w:pPr>
        <w:pStyle w:val="FootnoteText"/>
      </w:pPr>
      <w:r>
        <w:rPr>
          <w:rStyle w:val="FootnoteReference"/>
        </w:rPr>
        <w:footnoteRef/>
      </w:r>
      <w:r>
        <w:t xml:space="preserve"> What has been said about the </w:t>
      </w:r>
      <w:r w:rsidRPr="002539F4">
        <w:rPr>
          <w:i/>
        </w:rPr>
        <w:t>Kyrie</w:t>
      </w:r>
      <w:r>
        <w:t xml:space="preserve"> in fn. 5 is also true of the </w:t>
      </w:r>
      <w:r w:rsidRPr="002539F4">
        <w:rPr>
          <w:i/>
        </w:rPr>
        <w:t>Gloria</w:t>
      </w:r>
      <w:r>
        <w:t>.</w:t>
      </w:r>
    </w:p>
  </w:footnote>
  <w:footnote w:id="8">
    <w:p w:rsidR="00C177F9" w:rsidRDefault="00C177F9">
      <w:pPr>
        <w:pStyle w:val="FootnoteText"/>
      </w:pPr>
      <w:r>
        <w:rPr>
          <w:rStyle w:val="FootnoteReference"/>
        </w:rPr>
        <w:footnoteRef/>
      </w:r>
      <w:r>
        <w:t xml:space="preserve"> The readings (including the Gospel) and psalm are those appointed for the day in the lectionary.</w:t>
      </w:r>
    </w:p>
  </w:footnote>
  <w:footnote w:id="9">
    <w:p w:rsidR="00C177F9" w:rsidRDefault="00C177F9">
      <w:pPr>
        <w:pStyle w:val="FootnoteText"/>
      </w:pPr>
      <w:r>
        <w:rPr>
          <w:rStyle w:val="FootnoteReference"/>
        </w:rPr>
        <w:footnoteRef/>
      </w:r>
      <w:r>
        <w:t xml:space="preserve"> As </w:t>
      </w:r>
      <w:r w:rsidRPr="00323FBA">
        <w:rPr>
          <w:i/>
        </w:rPr>
        <w:t>Alleluia</w:t>
      </w:r>
      <w:r>
        <w:t xml:space="preserve"> is not said during Lent, a Lenten alternative is included in the </w:t>
      </w:r>
      <w:r w:rsidRPr="00323FBA">
        <w:rPr>
          <w:i/>
        </w:rPr>
        <w:t>ELW</w:t>
      </w:r>
      <w:r>
        <w:t xml:space="preserve">. It should be noted that what is called the </w:t>
      </w:r>
      <w:r w:rsidRPr="00323FBA">
        <w:rPr>
          <w:i/>
        </w:rPr>
        <w:t>Gospel Acclamation</w:t>
      </w:r>
      <w:r>
        <w:t xml:space="preserve"> in the </w:t>
      </w:r>
      <w:r w:rsidRPr="00323FBA">
        <w:rPr>
          <w:i/>
        </w:rPr>
        <w:t>ELW</w:t>
      </w:r>
      <w:r>
        <w:t xml:space="preserve"> was called the </w:t>
      </w:r>
      <w:r w:rsidRPr="00323FBA">
        <w:rPr>
          <w:i/>
        </w:rPr>
        <w:t>Verse</w:t>
      </w:r>
      <w:r>
        <w:t xml:space="preserve"> in the </w:t>
      </w:r>
      <w:r w:rsidRPr="00323FBA">
        <w:rPr>
          <w:i/>
        </w:rPr>
        <w:t>LBW</w:t>
      </w:r>
      <w:r>
        <w:t xml:space="preserve"> and the </w:t>
      </w:r>
      <w:r w:rsidRPr="00323FBA">
        <w:rPr>
          <w:i/>
        </w:rPr>
        <w:t>Gradual</w:t>
      </w:r>
      <w:r>
        <w:t xml:space="preserve"> in the </w:t>
      </w:r>
      <w:r w:rsidRPr="00323FBA">
        <w:rPr>
          <w:i/>
        </w:rPr>
        <w:t>SBH</w:t>
      </w:r>
      <w:r>
        <w:t xml:space="preserve"> (and historically back to the Medieval mass). There are actually proper graduals for each Sunday of the church year and the festivals. A congregation wanting to explore the use of proper graduals should contact the bishop. </w:t>
      </w:r>
    </w:p>
  </w:footnote>
  <w:footnote w:id="10">
    <w:p w:rsidR="00C177F9" w:rsidRDefault="00C177F9">
      <w:pPr>
        <w:pStyle w:val="FootnoteText"/>
      </w:pPr>
      <w:r>
        <w:rPr>
          <w:rStyle w:val="FootnoteReference"/>
        </w:rPr>
        <w:footnoteRef/>
      </w:r>
      <w:r>
        <w:t xml:space="preserve"> The form provided on p.218 may be used, but there several options. You may explore these on the synod website (URL: </w:t>
      </w:r>
      <w:r w:rsidRPr="00323FBA">
        <w:t>http://wv-wmd.org/worship/#Intercession</w:t>
      </w:r>
      <w:r>
        <w:t>).</w:t>
      </w:r>
    </w:p>
  </w:footnote>
  <w:footnote w:id="11">
    <w:p w:rsidR="00C177F9" w:rsidRDefault="00C177F9">
      <w:pPr>
        <w:pStyle w:val="FootnoteText"/>
      </w:pPr>
      <w:r>
        <w:rPr>
          <w:rStyle w:val="FootnoteReference"/>
        </w:rPr>
        <w:footnoteRef/>
      </w:r>
      <w:r>
        <w:t xml:space="preserve"> The Peace was first reintroduced to American Lutheran liturgy with the Common Service in the late 1800s. This was noting more than the presiding minister saying, “The peace of the Lord be with you always,” and the congregation responding, “And with thy spirit.” There was no shaking of hands or other gestures exchanged between the congregants. The </w:t>
      </w:r>
      <w:r w:rsidRPr="008756BB">
        <w:rPr>
          <w:i/>
        </w:rPr>
        <w:t>LBW</w:t>
      </w:r>
      <w:r>
        <w:t xml:space="preserve"> introduced the “exchange of peace” between the congregants. This was not well-received at first in most places, but it soon became perceived as indispensable. It should be noted that The Peace was historically associated with the Eucharistic service and only the Eucharistic service. Some congregation, after the introduction of the </w:t>
      </w:r>
      <w:r w:rsidRPr="008173DB">
        <w:rPr>
          <w:i/>
        </w:rPr>
        <w:t>LBW</w:t>
      </w:r>
      <w:r>
        <w:t xml:space="preserve"> but before moving to weekly communion started using it even when the antecommunion service was employed, inserting it in odd places. Anecdotally, reasons varied from pastors trying to make their congregations more welcoming to congregants simply enjoying a chance to greet each other (with little thought to its actual liturgical meaning, i.e., reconciliation of grievance before taking the Sacrament). </w:t>
      </w:r>
      <w:smartTag w:uri="urn:schemas-microsoft-com:office:smarttags" w:element="place">
        <w:smartTag w:uri="urn:schemas-microsoft-com:office:smarttags" w:element="PlaceName">
          <w:r>
            <w:t>Holden</w:t>
          </w:r>
        </w:smartTag>
        <w:r>
          <w:t xml:space="preserve"> </w:t>
        </w:r>
        <w:smartTag w:uri="urn:schemas-microsoft-com:office:smarttags" w:element="PlaceType">
          <w:r>
            <w:t>Village</w:t>
          </w:r>
        </w:smartTag>
      </w:smartTag>
      <w:r>
        <w:t xml:space="preserve"> introduced it as part of its Vespers service (as one might expect given the sentimental nature of camp worship), and The Peace has unfortunately spread to all non-Eucharistic services in the </w:t>
      </w:r>
      <w:r w:rsidRPr="008173DB">
        <w:rPr>
          <w:i/>
        </w:rPr>
        <w:t>ELW</w:t>
      </w:r>
      <w:r>
        <w:t>. Feel free to omit.</w:t>
      </w:r>
    </w:p>
  </w:footnote>
  <w:footnote w:id="12">
    <w:p w:rsidR="00C177F9" w:rsidRDefault="00C177F9">
      <w:pPr>
        <w:pStyle w:val="FootnoteText"/>
      </w:pPr>
      <w:r>
        <w:rPr>
          <w:rStyle w:val="FootnoteReference"/>
        </w:rPr>
        <w:footnoteRef/>
      </w:r>
      <w:r>
        <w:t xml:space="preserve"> This is a novelty. Cf. fn. 2 and fn. 12.</w:t>
      </w:r>
    </w:p>
  </w:footnote>
  <w:footnote w:id="13">
    <w:p w:rsidR="00C177F9" w:rsidRDefault="00C177F9">
      <w:pPr>
        <w:pStyle w:val="FootnoteText"/>
      </w:pPr>
      <w:r>
        <w:rPr>
          <w:rStyle w:val="FootnoteReference"/>
        </w:rPr>
        <w:footnoteRef/>
      </w:r>
      <w:r>
        <w:t xml:space="preserve"> There is a long form and a short form (in the shaded block in the right column). Choose between the two. The shorter one is perfectly acceptable and to be preferred as the entire Thanksgiving for the Word is a strange and novel attempt to make a non-Eucharistic service feel and look like a Eucharistic service.</w:t>
      </w:r>
    </w:p>
  </w:footnote>
  <w:footnote w:id="14">
    <w:p w:rsidR="00C177F9" w:rsidRDefault="00C177F9">
      <w:pPr>
        <w:pStyle w:val="FootnoteText"/>
      </w:pPr>
      <w:r>
        <w:rPr>
          <w:rStyle w:val="FootnoteReference"/>
        </w:rPr>
        <w:footnoteRef/>
      </w:r>
      <w:r>
        <w:t xml:space="preserve"> Choose between the King James Version and the modern version. To be honest, most will automatically fall into the KJV is one gives any pause after the words </w:t>
      </w:r>
      <w:r w:rsidRPr="001306D0">
        <w:rPr>
          <w:i/>
        </w:rPr>
        <w:t>Our Father</w:t>
      </w:r>
      <w:r>
        <w:t>, unless the congregation has been beaten into use of the modern version over the course of several years.</w:t>
      </w:r>
    </w:p>
  </w:footnote>
  <w:footnote w:id="15">
    <w:p w:rsidR="00C177F9" w:rsidRDefault="00C177F9">
      <w:pPr>
        <w:pStyle w:val="FootnoteText"/>
      </w:pPr>
      <w:r>
        <w:rPr>
          <w:rStyle w:val="FootnoteReference"/>
        </w:rPr>
        <w:footnoteRef/>
      </w:r>
      <w:r>
        <w:t xml:space="preserve"> It is recommended that either the first or second benediction be used with appropriate changed of wording by the presiding minister: “Almighty God, Father, Son, and Holy Spirit, bless </w:t>
      </w:r>
      <w:r w:rsidRPr="00081E5D">
        <w:rPr>
          <w:i/>
        </w:rPr>
        <w:t>u</w:t>
      </w:r>
      <w:r>
        <w:rPr>
          <w:i/>
        </w:rPr>
        <w:t>s</w:t>
      </w:r>
      <w:r>
        <w:t xml:space="preserve"> now and forever” or “The Lord bless </w:t>
      </w:r>
      <w:r w:rsidRPr="00081E5D">
        <w:rPr>
          <w:i/>
        </w:rPr>
        <w:t>us</w:t>
      </w:r>
      <w:r>
        <w:t xml:space="preserve"> and keep </w:t>
      </w:r>
      <w:r w:rsidRPr="00081E5D">
        <w:rPr>
          <w:i/>
        </w:rPr>
        <w:t>us</w:t>
      </w:r>
      <w:r>
        <w:t xml:space="preserve">, the Lord’s face shine on </w:t>
      </w:r>
      <w:r w:rsidRPr="00081E5D">
        <w:rPr>
          <w:i/>
        </w:rPr>
        <w:t>us</w:t>
      </w:r>
      <w:r>
        <w:t xml:space="preserve"> with grace and mercy; the Lord look upon </w:t>
      </w:r>
      <w:r w:rsidRPr="00081E5D">
        <w:rPr>
          <w:i/>
        </w:rPr>
        <w:t>us</w:t>
      </w:r>
      <w:r>
        <w:t xml:space="preserve"> with favor and grant </w:t>
      </w:r>
      <w:r w:rsidRPr="00081E5D">
        <w:rPr>
          <w:i/>
        </w:rPr>
        <w:t>us</w:t>
      </w:r>
      <w:r>
        <w:t xml:space="preserve"> peace.” The sign of the cross should not be made over the congregation, the presiding minister simply crossing him/herself instead.</w:t>
      </w:r>
    </w:p>
  </w:footnote>
  <w:footnote w:id="16">
    <w:p w:rsidR="00C177F9" w:rsidRDefault="00C177F9">
      <w:pPr>
        <w:pStyle w:val="FootnoteText"/>
      </w:pPr>
      <w:r>
        <w:rPr>
          <w:rStyle w:val="FootnoteReference"/>
        </w:rPr>
        <w:footnoteRef/>
      </w:r>
      <w:r>
        <w:t xml:space="preserve"> The recommended dismissal is the second: “Go in peace. Serve the Lord.” It would be better to omit the dismissal altogether as the dismissal is peculiar to the mass (the Service of Holy Communion). The inclusion of a dismissal for non-Eucharistic services is a </w:t>
      </w:r>
      <w:smartTag w:uri="urn:schemas-microsoft-com:office:smarttags" w:element="PlaceType">
        <w:smartTag w:uri="urn:schemas-microsoft-com:office:smarttags" w:element="PlaceType">
          <w:r>
            <w:t>Holden</w:t>
          </w:r>
        </w:smartTag>
        <w:r>
          <w:t xml:space="preserve"> </w:t>
        </w:r>
        <w:smartTag w:uri="urn:schemas-microsoft-com:office:smarttags" w:element="PlaceType">
          <w:r>
            <w:t>Village</w:t>
          </w:r>
        </w:smartTag>
      </w:smartTag>
      <w:r>
        <w:t xml:space="preserve"> innovation that was included for general use for the first time in the </w:t>
      </w:r>
      <w:r w:rsidRPr="00CC1A1C">
        <w:rPr>
          <w:i/>
        </w:rPr>
        <w:t>ELW</w:t>
      </w:r>
      <w:r>
        <w:t>. It would be sufficient for the musician to simply move straight to the postlude (if there is one) after the hymn to signal the conclusion of the service. We admit, however, that our congregants have become so accustomed to the dismissal on Sunday mornings, that retaining it may be practical.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C3D0A"/>
    <w:multiLevelType w:val="hybridMultilevel"/>
    <w:tmpl w:val="C126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8A788B"/>
    <w:multiLevelType w:val="hybridMultilevel"/>
    <w:tmpl w:val="75E42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2B09"/>
    <w:rsid w:val="00011457"/>
    <w:rsid w:val="000438AE"/>
    <w:rsid w:val="00065AA0"/>
    <w:rsid w:val="00081E5D"/>
    <w:rsid w:val="000A197C"/>
    <w:rsid w:val="000E5CAB"/>
    <w:rsid w:val="001306D0"/>
    <w:rsid w:val="00163702"/>
    <w:rsid w:val="00174296"/>
    <w:rsid w:val="001B754B"/>
    <w:rsid w:val="001C54F1"/>
    <w:rsid w:val="002539F4"/>
    <w:rsid w:val="002836FF"/>
    <w:rsid w:val="002C6B46"/>
    <w:rsid w:val="002D1B9F"/>
    <w:rsid w:val="00323FBA"/>
    <w:rsid w:val="00361D11"/>
    <w:rsid w:val="00375C42"/>
    <w:rsid w:val="003A4545"/>
    <w:rsid w:val="00415BA7"/>
    <w:rsid w:val="0045343D"/>
    <w:rsid w:val="00490264"/>
    <w:rsid w:val="004A3A17"/>
    <w:rsid w:val="004D1CCF"/>
    <w:rsid w:val="00526DE1"/>
    <w:rsid w:val="005561FB"/>
    <w:rsid w:val="005B537C"/>
    <w:rsid w:val="005B64DB"/>
    <w:rsid w:val="007B2396"/>
    <w:rsid w:val="008173DB"/>
    <w:rsid w:val="008756BB"/>
    <w:rsid w:val="008A356F"/>
    <w:rsid w:val="00900B10"/>
    <w:rsid w:val="0094664F"/>
    <w:rsid w:val="00950521"/>
    <w:rsid w:val="009819EC"/>
    <w:rsid w:val="00A71154"/>
    <w:rsid w:val="00A72B09"/>
    <w:rsid w:val="00A81B91"/>
    <w:rsid w:val="00B80498"/>
    <w:rsid w:val="00C177F9"/>
    <w:rsid w:val="00C47013"/>
    <w:rsid w:val="00C8535E"/>
    <w:rsid w:val="00CB6D68"/>
    <w:rsid w:val="00CC1A1C"/>
    <w:rsid w:val="00CD4A9B"/>
    <w:rsid w:val="00CE35C5"/>
    <w:rsid w:val="00CF549F"/>
    <w:rsid w:val="00D414AA"/>
    <w:rsid w:val="00DB51FB"/>
    <w:rsid w:val="00DB6F0A"/>
    <w:rsid w:val="00E95376"/>
    <w:rsid w:val="00EC411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154"/>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64DB"/>
    <w:pPr>
      <w:ind w:left="720"/>
      <w:contextualSpacing/>
    </w:pPr>
  </w:style>
  <w:style w:type="paragraph" w:styleId="FootnoteText">
    <w:name w:val="footnote text"/>
    <w:basedOn w:val="Normal"/>
    <w:link w:val="FootnoteTextChar"/>
    <w:uiPriority w:val="99"/>
    <w:semiHidden/>
    <w:rsid w:val="000438AE"/>
    <w:rPr>
      <w:sz w:val="20"/>
      <w:szCs w:val="20"/>
    </w:rPr>
  </w:style>
  <w:style w:type="character" w:customStyle="1" w:styleId="FootnoteTextChar">
    <w:name w:val="Footnote Text Char"/>
    <w:basedOn w:val="DefaultParagraphFont"/>
    <w:link w:val="FootnoteText"/>
    <w:uiPriority w:val="99"/>
    <w:semiHidden/>
    <w:rsid w:val="00D44175"/>
    <w:rPr>
      <w:sz w:val="20"/>
      <w:szCs w:val="20"/>
    </w:rPr>
  </w:style>
  <w:style w:type="character" w:styleId="FootnoteReference">
    <w:name w:val="footnote reference"/>
    <w:basedOn w:val="DefaultParagraphFont"/>
    <w:uiPriority w:val="99"/>
    <w:semiHidden/>
    <w:rsid w:val="000438AE"/>
    <w:rPr>
      <w:rFonts w:cs="Times New Roman"/>
      <w:vertAlign w:val="superscript"/>
    </w:rPr>
  </w:style>
  <w:style w:type="paragraph" w:styleId="Footer">
    <w:name w:val="footer"/>
    <w:basedOn w:val="Normal"/>
    <w:link w:val="FooterChar"/>
    <w:uiPriority w:val="99"/>
    <w:rsid w:val="002539F4"/>
    <w:pPr>
      <w:tabs>
        <w:tab w:val="center" w:pos="4320"/>
        <w:tab w:val="right" w:pos="8640"/>
      </w:tabs>
    </w:pPr>
  </w:style>
  <w:style w:type="character" w:customStyle="1" w:styleId="FooterChar">
    <w:name w:val="Footer Char"/>
    <w:basedOn w:val="DefaultParagraphFont"/>
    <w:link w:val="Footer"/>
    <w:uiPriority w:val="99"/>
    <w:semiHidden/>
    <w:rsid w:val="00D44175"/>
  </w:style>
  <w:style w:type="character" w:styleId="PageNumber">
    <w:name w:val="page number"/>
    <w:basedOn w:val="DefaultParagraphFont"/>
    <w:uiPriority w:val="99"/>
    <w:rsid w:val="002539F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168</Words>
  <Characters>964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Season/Day:</dc:title>
  <dc:subject/>
  <dc:creator>Matthew Riegel</dc:creator>
  <cp:keywords/>
  <dc:description/>
  <cp:lastModifiedBy>Matthew Riegel</cp:lastModifiedBy>
  <cp:revision>2</cp:revision>
  <dcterms:created xsi:type="dcterms:W3CDTF">2026-07-21T03:36:00Z</dcterms:created>
  <dcterms:modified xsi:type="dcterms:W3CDTF">2026-07-21T03:36:00Z</dcterms:modified>
</cp:coreProperties>
</file>